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2FB5A">
      <w:pPr>
        <w:jc w:val="center"/>
        <w:rPr>
          <w:rFonts w:ascii="Times New Roman" w:hAnsi="Times New Roman" w:eastAsia="黑体" w:cs="Times New Roman"/>
          <w:sz w:val="44"/>
          <w:szCs w:val="44"/>
        </w:rPr>
      </w:pPr>
      <w:r>
        <w:rPr>
          <w:rFonts w:ascii="Times New Roman" w:hAnsi="黑体" w:eastAsia="黑体" w:cs="Times New Roman"/>
          <w:sz w:val="44"/>
          <w:szCs w:val="44"/>
        </w:rPr>
        <w:t>团体标准《丝状支原体丝状亚种和牛支原体</w:t>
      </w:r>
      <w:r>
        <w:rPr>
          <w:rFonts w:ascii="Times New Roman" w:hAnsi="Times New Roman" w:eastAsia="黑体" w:cs="Times New Roman"/>
          <w:sz w:val="44"/>
          <w:szCs w:val="44"/>
        </w:rPr>
        <w:t xml:space="preserve"> </w:t>
      </w:r>
      <w:r>
        <w:rPr>
          <w:rFonts w:ascii="Times New Roman" w:hAnsi="黑体" w:eastAsia="黑体" w:cs="Times New Roman"/>
          <w:sz w:val="44"/>
          <w:szCs w:val="44"/>
        </w:rPr>
        <w:t>二重</w:t>
      </w:r>
      <w:r>
        <w:rPr>
          <w:rFonts w:ascii="Times New Roman" w:hAnsi="Times New Roman" w:eastAsia="黑体" w:cs="Times New Roman"/>
          <w:sz w:val="44"/>
          <w:szCs w:val="44"/>
        </w:rPr>
        <w:t>Taqman</w:t>
      </w:r>
      <w:r>
        <w:rPr>
          <w:rFonts w:ascii="Times New Roman" w:hAnsi="黑体" w:eastAsia="黑体" w:cs="Times New Roman"/>
          <w:sz w:val="44"/>
          <w:szCs w:val="44"/>
        </w:rPr>
        <w:t>实时荧光</w:t>
      </w:r>
      <w:r>
        <w:rPr>
          <w:rFonts w:ascii="Times New Roman" w:hAnsi="Times New Roman" w:eastAsia="黑体" w:cs="Times New Roman"/>
          <w:sz w:val="44"/>
          <w:szCs w:val="44"/>
        </w:rPr>
        <w:t>PCR</w:t>
      </w:r>
      <w:r>
        <w:rPr>
          <w:rFonts w:ascii="Times New Roman" w:hAnsi="黑体" w:eastAsia="黑体" w:cs="Times New Roman"/>
          <w:sz w:val="44"/>
          <w:szCs w:val="44"/>
        </w:rPr>
        <w:t>检测方法》（征求意见稿）编制说明</w:t>
      </w:r>
    </w:p>
    <w:p w14:paraId="1EC3BBAC">
      <w:pPr>
        <w:rPr>
          <w:rFonts w:ascii="Times New Roman" w:hAnsi="Times New Roman" w:cs="Times New Roman"/>
        </w:rPr>
      </w:pPr>
    </w:p>
    <w:p w14:paraId="79592954">
      <w:pPr>
        <w:spacing w:line="360" w:lineRule="auto"/>
        <w:rPr>
          <w:rFonts w:ascii="Times New Roman" w:hAnsi="Times New Roman" w:cs="Times New Roman"/>
          <w:sz w:val="28"/>
          <w:szCs w:val="28"/>
        </w:rPr>
      </w:pPr>
      <w:r>
        <w:rPr>
          <w:rFonts w:ascii="Times New Roman" w:cs="Times New Roman" w:hAnsiTheme="minorEastAsia"/>
          <w:sz w:val="28"/>
          <w:szCs w:val="28"/>
        </w:rPr>
        <w:t>一、工作简况</w:t>
      </w:r>
    </w:p>
    <w:p w14:paraId="258D8D0B">
      <w:pPr>
        <w:spacing w:line="360" w:lineRule="auto"/>
        <w:rPr>
          <w:rFonts w:ascii="Times New Roman" w:hAnsi="Times New Roman" w:cs="Times New Roman"/>
          <w:sz w:val="28"/>
          <w:szCs w:val="28"/>
        </w:rPr>
      </w:pPr>
      <w:r>
        <w:rPr>
          <w:rFonts w:ascii="Times New Roman" w:cs="Times New Roman" w:hAnsiTheme="minorEastAsia"/>
          <w:sz w:val="28"/>
          <w:szCs w:val="28"/>
        </w:rPr>
        <w:t>（一）任务来源</w:t>
      </w:r>
    </w:p>
    <w:p w14:paraId="0BCBAE99">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项目来源于广西标准化协会《广西标准化协会关于下达2024年第二十批团体标准制修订项目计划的通知》（桂标协〔2024〕</w:t>
      </w:r>
      <w:r>
        <w:rPr>
          <w:rFonts w:hint="eastAsia" w:ascii="Times New Roman" w:hAnsi="Times New Roman" w:cs="Times New Roman"/>
          <w:sz w:val="28"/>
          <w:szCs w:val="28"/>
        </w:rPr>
        <w:t>156</w:t>
      </w:r>
      <w:r>
        <w:rPr>
          <w:rFonts w:ascii="Times New Roman" w:hAnsi="Times New Roman" w:cs="Times New Roman"/>
          <w:sz w:val="28"/>
          <w:szCs w:val="28"/>
        </w:rPr>
        <w:t>号），由广西壮族自治区动物疫病预防控制中心、广西大学、皇氏赛尔生物科技（广西）有限公司、广西悦牧生物科技有限公司、南宁市动物疫病预防控制中心、钦州市动物疫病预防控制中心、防城港市动物疫病预防控制中心、忻城县动物疫病预防控制中心、田东县动物疫病预防控制中心、象州县动物疫病预防控制中心共同负责编制任务。</w:t>
      </w:r>
    </w:p>
    <w:p w14:paraId="292B8128">
      <w:pPr>
        <w:spacing w:line="360" w:lineRule="auto"/>
        <w:rPr>
          <w:rFonts w:ascii="Times New Roman" w:hAnsi="Times New Roman" w:cs="Times New Roman"/>
          <w:sz w:val="28"/>
          <w:szCs w:val="28"/>
        </w:rPr>
      </w:pPr>
      <w:r>
        <w:rPr>
          <w:rFonts w:ascii="Times New Roman" w:hAnsi="Times New Roman" w:cs="Times New Roman"/>
          <w:sz w:val="28"/>
          <w:szCs w:val="28"/>
        </w:rPr>
        <w:t>（二）目的意义</w:t>
      </w:r>
    </w:p>
    <w:p w14:paraId="5A4B9F4A">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丝状支原体丝状亚种（Mycoplasma mycoides subsp.Mycoides SC,MmmSC）和牛支原体(Mycoplasma bovis,M</w:t>
      </w:r>
      <w:r>
        <w:rPr>
          <w:rFonts w:hint="eastAsia" w:ascii="Times New Roman" w:hAnsi="Times New Roman" w:cs="Times New Roman"/>
          <w:sz w:val="28"/>
          <w:szCs w:val="28"/>
        </w:rPr>
        <w:t>.</w:t>
      </w:r>
      <w:r>
        <w:rPr>
          <w:rFonts w:ascii="Times New Roman" w:hAnsi="Times New Roman" w:cs="Times New Roman"/>
          <w:sz w:val="28"/>
          <w:szCs w:val="28"/>
        </w:rPr>
        <w:t>bovis)同属支原体科支原体属成员MmmSC能够引起一种危害严重的接触性传染疾病，即牛传染性胸膜肺炎（又称“牛肺疫”）。该病原能够侵染各年龄、性别、品种的牛。患病牛和带菌（慢性感染期）牛均是MmmSC的主要传染源，并且由于从急性型和慢性型阶段康复的牛常表现出亚临床症状，或成为长期带菌者，这使得牛传染性胸膜肺炎的防控和消灭非常困难。虽然我国在2011年被世界动物卫生组织认证为无牛传染性胸膜肺炎国家，但与我国相邻的其他国家仍然存在此病，随着“一带一路”战略的发展，我国与各国特别是沿线沿边国家的动物贸易和人员流动日益频繁，MmmSC传入的可能性将不断增高。</w:t>
      </w:r>
    </w:p>
    <w:p w14:paraId="7DF07C9B">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M</w:t>
      </w:r>
      <w:r>
        <w:rPr>
          <w:rFonts w:hint="eastAsia" w:ascii="Times New Roman" w:hAnsi="Times New Roman" w:cs="Times New Roman"/>
          <w:sz w:val="28"/>
          <w:szCs w:val="28"/>
        </w:rPr>
        <w:t>.</w:t>
      </w:r>
      <w:r>
        <w:rPr>
          <w:rFonts w:ascii="Times New Roman" w:hAnsi="Times New Roman" w:cs="Times New Roman"/>
          <w:sz w:val="28"/>
          <w:szCs w:val="28"/>
        </w:rPr>
        <w:t>bovis能引起牛的肺炎、乳腺炎、关节炎、生殖道炎、角膜结膜炎，甚至造成牛流产与不孕。当前，M</w:t>
      </w:r>
      <w:r>
        <w:rPr>
          <w:rFonts w:hint="eastAsia" w:ascii="Times New Roman" w:hAnsi="Times New Roman" w:cs="Times New Roman"/>
          <w:sz w:val="28"/>
          <w:szCs w:val="28"/>
        </w:rPr>
        <w:t>.</w:t>
      </w:r>
      <w:r>
        <w:rPr>
          <w:rFonts w:ascii="Times New Roman" w:hAnsi="Times New Roman" w:cs="Times New Roman"/>
          <w:sz w:val="28"/>
          <w:szCs w:val="28"/>
        </w:rPr>
        <w:t>bovis是危害犊牛健康的重要致病性病原体，具有较高的感染率和死亡率，即使病牛能够耐过，后续大多出现发育迟缓，严重影响其产量和质量。M</w:t>
      </w:r>
      <w:r>
        <w:rPr>
          <w:rFonts w:hint="eastAsia" w:ascii="Times New Roman" w:hAnsi="Times New Roman" w:cs="Times New Roman"/>
          <w:sz w:val="28"/>
          <w:szCs w:val="28"/>
        </w:rPr>
        <w:t>.</w:t>
      </w:r>
      <w:r>
        <w:rPr>
          <w:rFonts w:ascii="Times New Roman" w:hAnsi="Times New Roman" w:cs="Times New Roman"/>
          <w:sz w:val="28"/>
          <w:szCs w:val="28"/>
        </w:rPr>
        <w:t>bovis还可造成其他病原的继发感染，给我国养牛业带来巨大损失。因此，密切关注和有效检测我国牛群中MmmSC和M</w:t>
      </w:r>
      <w:r>
        <w:rPr>
          <w:rFonts w:hint="eastAsia" w:ascii="Times New Roman" w:hAnsi="Times New Roman" w:cs="Times New Roman"/>
          <w:sz w:val="28"/>
          <w:szCs w:val="28"/>
        </w:rPr>
        <w:t>.</w:t>
      </w:r>
      <w:r>
        <w:rPr>
          <w:rFonts w:ascii="Times New Roman" w:hAnsi="Times New Roman" w:cs="Times New Roman"/>
          <w:sz w:val="28"/>
          <w:szCs w:val="28"/>
        </w:rPr>
        <w:t>bovis的感染情况对我国养牛业的发展是十分重要的。</w:t>
      </w:r>
    </w:p>
    <w:p w14:paraId="69FEA5A8">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MmmSC与M.bovis对牛均具有较强的致病力,且具有相似的临床症状和病理变化，两者的感染难以区分，必须要借助相关检测试剂盒进行。但在操作检测试剂盒的过程中，多种因素常导致试剂盒阳性质控品污染样品情况的发生，造成错误的诊断且无法辨别。因此，开发对这两种支原体的快速有效鉴别并排除阳性质控品污染的检测方法，能够帮助一线工作者对这两种病原体进行有效监控和准确的诊断，对针对性制定、实施防控策略具有重要意义。</w:t>
      </w:r>
    </w:p>
    <w:p w14:paraId="18B919C3">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二、编制简况</w:t>
      </w:r>
    </w:p>
    <w:p w14:paraId="6419E4C3">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（一）成立编制工作小组</w:t>
      </w:r>
    </w:p>
    <w:p w14:paraId="0629B143">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团体标准《丝状支原体丝状亚种和牛支原体鉴别检测 二重Taqman实时荧光PCR法》项目任务下达后，主要起草单位制定了编制工作方案，由广西壮族自治区动物疫病预防控制中心、广西大学、皇氏赛尔生物科技（广西）有限公司等单位的专家和技术专业人员参加，成立了编制小组，并就编写工作进行了分工。</w:t>
      </w:r>
      <w:r>
        <w:rPr>
          <w:rFonts w:ascii="Times New Roman" w:cs="Times New Roman" w:hAnsiTheme="minorEastAsia"/>
          <w:sz w:val="28"/>
          <w:szCs w:val="28"/>
        </w:rPr>
        <w:t>。</w:t>
      </w:r>
    </w:p>
    <w:p w14:paraId="097B8317">
      <w:pPr>
        <w:spacing w:line="360" w:lineRule="auto"/>
        <w:ind w:firstLine="560" w:firstLineChars="200"/>
        <w:rPr>
          <w:rFonts w:ascii="Times New Roman" w:hAnsi="Times New Roman" w:cs="Times New Roman"/>
          <w:sz w:val="28"/>
          <w:szCs w:val="28"/>
        </w:rPr>
      </w:pPr>
      <w:r>
        <w:rPr>
          <w:rFonts w:ascii="Times New Roman" w:cs="Times New Roman" w:hAnsiTheme="minorEastAsia"/>
          <w:sz w:val="28"/>
          <w:szCs w:val="28"/>
        </w:rPr>
        <w:t>（二）标准主要起草人</w:t>
      </w:r>
    </w:p>
    <w:tbl>
      <w:tblPr>
        <w:tblStyle w:val="7"/>
        <w:tblW w:w="8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3"/>
        <w:gridCol w:w="1614"/>
        <w:gridCol w:w="2115"/>
        <w:gridCol w:w="3075"/>
      </w:tblGrid>
      <w:tr w14:paraId="2BBA5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40A2FEFB">
            <w:pPr>
              <w:spacing w:line="560" w:lineRule="exact"/>
              <w:jc w:val="center"/>
              <w:rPr>
                <w:rFonts w:ascii="Times New Roman" w:hAnsi="Times New Roman" w:eastAsia="仿宋" w:cs="Times New Roman"/>
                <w:b/>
                <w:bCs/>
                <w:color w:val="000000"/>
                <w:sz w:val="30"/>
                <w:szCs w:val="30"/>
              </w:rPr>
            </w:pPr>
            <w:r>
              <w:rPr>
                <w:rFonts w:ascii="Times New Roman" w:eastAsia="仿宋" w:cs="Times New Roman"/>
                <w:b/>
                <w:bCs/>
                <w:color w:val="000000"/>
                <w:sz w:val="30"/>
                <w:szCs w:val="30"/>
              </w:rPr>
              <w:t>姓名</w:t>
            </w:r>
          </w:p>
        </w:tc>
        <w:tc>
          <w:tcPr>
            <w:tcW w:w="1614" w:type="dxa"/>
            <w:tcBorders>
              <w:top w:val="single" w:color="auto" w:sz="4" w:space="0"/>
              <w:left w:val="nil"/>
              <w:bottom w:val="single" w:color="auto" w:sz="4" w:space="0"/>
              <w:right w:val="single" w:color="auto" w:sz="4" w:space="0"/>
            </w:tcBorders>
            <w:vAlign w:val="center"/>
          </w:tcPr>
          <w:p w14:paraId="74B3FF38">
            <w:pPr>
              <w:spacing w:line="560" w:lineRule="exact"/>
              <w:jc w:val="center"/>
              <w:rPr>
                <w:rFonts w:ascii="Times New Roman" w:hAnsi="Times New Roman" w:eastAsia="仿宋" w:cs="Times New Roman"/>
                <w:b/>
                <w:bCs/>
                <w:color w:val="000000"/>
                <w:sz w:val="30"/>
                <w:szCs w:val="30"/>
              </w:rPr>
            </w:pPr>
            <w:r>
              <w:rPr>
                <w:rFonts w:ascii="Times New Roman" w:eastAsia="仿宋" w:cs="Times New Roman"/>
                <w:b/>
                <w:bCs/>
                <w:color w:val="000000"/>
                <w:sz w:val="30"/>
                <w:szCs w:val="30"/>
              </w:rPr>
              <w:t>职务</w:t>
            </w:r>
            <w:r>
              <w:rPr>
                <w:rFonts w:ascii="Times New Roman" w:hAnsi="Times New Roman" w:eastAsia="仿宋" w:cs="Times New Roman"/>
                <w:b/>
                <w:bCs/>
                <w:color w:val="000000"/>
                <w:sz w:val="30"/>
                <w:szCs w:val="30"/>
              </w:rPr>
              <w:t>/</w:t>
            </w:r>
            <w:r>
              <w:rPr>
                <w:rFonts w:ascii="Times New Roman" w:eastAsia="仿宋" w:cs="Times New Roman"/>
                <w:b/>
                <w:bCs/>
                <w:color w:val="000000"/>
                <w:sz w:val="30"/>
                <w:szCs w:val="30"/>
              </w:rPr>
              <w:t>职称</w:t>
            </w:r>
          </w:p>
        </w:tc>
        <w:tc>
          <w:tcPr>
            <w:tcW w:w="2115" w:type="dxa"/>
            <w:tcBorders>
              <w:top w:val="single" w:color="auto" w:sz="4" w:space="0"/>
              <w:left w:val="nil"/>
              <w:bottom w:val="single" w:color="auto" w:sz="4" w:space="0"/>
              <w:right w:val="single" w:color="auto" w:sz="4" w:space="0"/>
            </w:tcBorders>
            <w:vAlign w:val="center"/>
          </w:tcPr>
          <w:p w14:paraId="1B64DA05">
            <w:pPr>
              <w:spacing w:line="560" w:lineRule="exact"/>
              <w:jc w:val="center"/>
              <w:rPr>
                <w:rFonts w:ascii="Times New Roman" w:hAnsi="Times New Roman" w:eastAsia="仿宋" w:cs="Times New Roman"/>
                <w:b/>
                <w:bCs/>
                <w:color w:val="000000"/>
                <w:sz w:val="30"/>
                <w:szCs w:val="30"/>
              </w:rPr>
            </w:pPr>
            <w:r>
              <w:rPr>
                <w:rFonts w:ascii="Times New Roman" w:eastAsia="仿宋" w:cs="Times New Roman"/>
                <w:b/>
                <w:bCs/>
                <w:color w:val="000000"/>
                <w:sz w:val="30"/>
                <w:szCs w:val="30"/>
              </w:rPr>
              <w:t>工作单位</w:t>
            </w:r>
          </w:p>
        </w:tc>
        <w:tc>
          <w:tcPr>
            <w:tcW w:w="3075" w:type="dxa"/>
            <w:tcBorders>
              <w:top w:val="single" w:color="auto" w:sz="4" w:space="0"/>
              <w:left w:val="nil"/>
              <w:bottom w:val="single" w:color="auto" w:sz="4" w:space="0"/>
              <w:right w:val="single" w:color="auto" w:sz="4" w:space="0"/>
            </w:tcBorders>
            <w:vAlign w:val="center"/>
          </w:tcPr>
          <w:p w14:paraId="4CFE108A">
            <w:pPr>
              <w:spacing w:line="560" w:lineRule="exact"/>
              <w:jc w:val="center"/>
              <w:rPr>
                <w:rFonts w:ascii="Times New Roman" w:hAnsi="Times New Roman" w:eastAsia="仿宋" w:cs="Times New Roman"/>
                <w:b/>
                <w:bCs/>
                <w:color w:val="000000"/>
                <w:sz w:val="30"/>
                <w:szCs w:val="30"/>
              </w:rPr>
            </w:pPr>
            <w:r>
              <w:rPr>
                <w:rFonts w:ascii="Times New Roman" w:eastAsia="仿宋" w:cs="Times New Roman"/>
                <w:b/>
                <w:bCs/>
                <w:color w:val="000000"/>
                <w:sz w:val="30"/>
                <w:szCs w:val="30"/>
              </w:rPr>
              <w:t>任务分工</w:t>
            </w:r>
          </w:p>
        </w:tc>
      </w:tr>
      <w:tr w14:paraId="36325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08E7109F">
            <w:pPr>
              <w:jc w:val="center"/>
              <w:rPr>
                <w:rFonts w:ascii="Times New Roman" w:hAnsi="Times New Roman" w:cs="Times New Roman"/>
                <w:szCs w:val="21"/>
              </w:rPr>
            </w:pPr>
            <w:r>
              <w:fldChar w:fldCharType="begin"/>
            </w:r>
            <w:r>
              <w:instrText xml:space="preserve"> HYPERLINK "http://gkg.kjt.gxzf.gov.cn/egrantweb/proposal/view-prp?posCodeStr=ut7c3XhcE6igRxeiB9Ok1Jzw8Q5y0YPsn1/gIsXGOmc=&amp;grantCodeStr=MXokMZCwStpQT9YOeDDzxChNw3peHGJ8&amp;subGrantCodeStr=TreCeGW6XI5b01EX94PJc33LO1QU9w6E&amp;" </w:instrText>
            </w:r>
            <w:r>
              <w:fldChar w:fldCharType="separate"/>
            </w:r>
            <w:r>
              <w:rPr>
                <w:rFonts w:ascii="Times New Roman" w:cs="Times New Roman" w:hAnsiTheme="minorEastAsia"/>
                <w:szCs w:val="21"/>
              </w:rPr>
              <w:t>郑敏</w:t>
            </w:r>
            <w:r>
              <w:rPr>
                <w:rFonts w:ascii="Times New Roman" w:cs="Times New Roman" w:hAnsiTheme="minorEastAsia"/>
                <w:szCs w:val="21"/>
              </w:rPr>
              <w:fldChar w:fldCharType="end"/>
            </w:r>
          </w:p>
        </w:tc>
        <w:tc>
          <w:tcPr>
            <w:tcW w:w="1614" w:type="dxa"/>
            <w:tcBorders>
              <w:top w:val="single" w:color="auto" w:sz="4" w:space="0"/>
              <w:left w:val="nil"/>
              <w:bottom w:val="single" w:color="auto" w:sz="4" w:space="0"/>
              <w:right w:val="single" w:color="auto" w:sz="4" w:space="0"/>
            </w:tcBorders>
            <w:vAlign w:val="center"/>
          </w:tcPr>
          <w:p w14:paraId="0993BD6A">
            <w:pPr>
              <w:jc w:val="center"/>
              <w:rPr>
                <w:rFonts w:ascii="Times New Roman" w:hAnsi="Times New Roman" w:cs="Times New Roman"/>
                <w:szCs w:val="21"/>
              </w:rPr>
            </w:pPr>
            <w:r>
              <w:rPr>
                <w:rFonts w:ascii="Times New Roman" w:cs="Times New Roman" w:hAnsiTheme="minorEastAsia"/>
                <w:szCs w:val="21"/>
              </w:rPr>
              <w:t>研究员</w:t>
            </w:r>
          </w:p>
        </w:tc>
        <w:tc>
          <w:tcPr>
            <w:tcW w:w="2115" w:type="dxa"/>
            <w:tcBorders>
              <w:top w:val="single" w:color="auto" w:sz="4" w:space="0"/>
              <w:left w:val="nil"/>
              <w:bottom w:val="single" w:color="auto" w:sz="4" w:space="0"/>
              <w:right w:val="single" w:color="auto" w:sz="4" w:space="0"/>
            </w:tcBorders>
            <w:vAlign w:val="center"/>
          </w:tcPr>
          <w:p w14:paraId="2B36E169">
            <w:pPr>
              <w:jc w:val="center"/>
              <w:rPr>
                <w:rFonts w:ascii="Times New Roman" w:hAnsi="Times New Roman" w:cs="Times New Roman"/>
                <w:szCs w:val="21"/>
              </w:rPr>
            </w:pPr>
            <w:r>
              <w:rPr>
                <w:rFonts w:ascii="Times New Roman" w:cs="Times New Roman" w:hAnsiTheme="minorEastAsia"/>
                <w:szCs w:val="21"/>
              </w:rPr>
              <w:t>广西壮族自治区动物疫病预防控制中心</w:t>
            </w:r>
          </w:p>
        </w:tc>
        <w:tc>
          <w:tcPr>
            <w:tcW w:w="3075" w:type="dxa"/>
            <w:tcBorders>
              <w:top w:val="single" w:color="auto" w:sz="4" w:space="0"/>
              <w:left w:val="nil"/>
              <w:bottom w:val="single" w:color="auto" w:sz="4" w:space="0"/>
              <w:right w:val="single" w:color="auto" w:sz="4" w:space="0"/>
            </w:tcBorders>
            <w:vAlign w:val="center"/>
          </w:tcPr>
          <w:p w14:paraId="147ABD21">
            <w:pPr>
              <w:jc w:val="center"/>
              <w:rPr>
                <w:rFonts w:ascii="Times New Roman" w:hAnsi="Times New Roman" w:cs="Times New Roman"/>
                <w:szCs w:val="21"/>
              </w:rPr>
            </w:pPr>
            <w:r>
              <w:rPr>
                <w:rFonts w:ascii="Times New Roman" w:cs="Times New Roman" w:hAnsiTheme="minorEastAsia"/>
                <w:szCs w:val="21"/>
              </w:rPr>
              <w:t>负责标准框架的设计、组织安排、整体协调、最终审核等</w:t>
            </w:r>
          </w:p>
        </w:tc>
      </w:tr>
      <w:tr w14:paraId="085AA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53EFDF55">
            <w:pPr>
              <w:jc w:val="center"/>
              <w:rPr>
                <w:rFonts w:ascii="Times New Roman" w:hAnsi="Times New Roman" w:cs="Times New Roman"/>
                <w:szCs w:val="21"/>
              </w:rPr>
            </w:pPr>
            <w:r>
              <w:rPr>
                <w:rFonts w:ascii="Times New Roman" w:hAnsi="Times New Roman" w:eastAsia="宋体" w:cs="Times New Roman"/>
                <w:szCs w:val="21"/>
              </w:rPr>
              <w:t>闭璟珊</w:t>
            </w:r>
            <w:r>
              <w:rPr>
                <w:rFonts w:ascii="Times New Roman" w:hAnsi="Times New Roman" w:cs="Times New Roman"/>
              </w:rPr>
              <w:fldChar w:fldCharType="begin"/>
            </w:r>
            <w:r>
              <w:rPr>
                <w:rFonts w:ascii="Times New Roman" w:hAnsi="Times New Roman" w:cs="Times New Roman"/>
              </w:rPr>
              <w:instrText xml:space="preserve">HYPERLINK "http://gkg.kjt.gxzf.gov.cn/egrantweb/proposal/view-prp?posCodeStr=ut7c3XhcE6igRxeiB9Ok1Jzw8Q5y0YPsn1/gIsXGOmc=&amp;grantCodeStr=MXokMZCwStpQT9YOeDDzxChNw3peHGJ8&amp;subGrantCodeStr=TreCeGW6XI5b01EX94PJc33LO1QU9w6E&amp;"</w:instrText>
            </w:r>
            <w:r>
              <w:rPr>
                <w:rFonts w:ascii="Times New Roman" w:hAnsi="Times New Roman" w:cs="Times New Roman"/>
              </w:rPr>
              <w:fldChar w:fldCharType="end"/>
            </w:r>
          </w:p>
        </w:tc>
        <w:tc>
          <w:tcPr>
            <w:tcW w:w="1614" w:type="dxa"/>
            <w:tcBorders>
              <w:top w:val="single" w:color="auto" w:sz="4" w:space="0"/>
              <w:left w:val="nil"/>
              <w:bottom w:val="single" w:color="auto" w:sz="4" w:space="0"/>
              <w:right w:val="single" w:color="auto" w:sz="4" w:space="0"/>
            </w:tcBorders>
            <w:vAlign w:val="center"/>
          </w:tcPr>
          <w:p w14:paraId="7AFDB57B">
            <w:pPr>
              <w:jc w:val="center"/>
              <w:rPr>
                <w:rFonts w:ascii="Times New Roman" w:hAnsi="Times New Roman" w:cs="Times New Roman"/>
                <w:szCs w:val="21"/>
              </w:rPr>
            </w:pPr>
            <w:r>
              <w:rPr>
                <w:rFonts w:ascii="Times New Roman" w:cs="Times New Roman" w:hAnsiTheme="minorEastAsia"/>
                <w:szCs w:val="21"/>
              </w:rPr>
              <w:t>高级兽医师</w:t>
            </w:r>
          </w:p>
        </w:tc>
        <w:tc>
          <w:tcPr>
            <w:tcW w:w="2115" w:type="dxa"/>
            <w:tcBorders>
              <w:top w:val="single" w:color="auto" w:sz="4" w:space="0"/>
              <w:left w:val="nil"/>
              <w:bottom w:val="single" w:color="auto" w:sz="4" w:space="0"/>
              <w:right w:val="single" w:color="auto" w:sz="4" w:space="0"/>
            </w:tcBorders>
            <w:vAlign w:val="center"/>
          </w:tcPr>
          <w:p w14:paraId="7E5BDA86">
            <w:pPr>
              <w:jc w:val="center"/>
              <w:rPr>
                <w:rFonts w:ascii="Times New Roman" w:hAnsi="Times New Roman" w:cs="Times New Roman"/>
                <w:szCs w:val="21"/>
              </w:rPr>
            </w:pPr>
            <w:r>
              <w:rPr>
                <w:rFonts w:ascii="Times New Roman" w:cs="Times New Roman" w:hAnsiTheme="minorEastAsia"/>
                <w:szCs w:val="21"/>
              </w:rPr>
              <w:t>广西壮族自治区动物疫病预防控制中心</w:t>
            </w:r>
          </w:p>
        </w:tc>
        <w:tc>
          <w:tcPr>
            <w:tcW w:w="3075" w:type="dxa"/>
            <w:tcBorders>
              <w:top w:val="single" w:color="auto" w:sz="4" w:space="0"/>
              <w:left w:val="nil"/>
              <w:bottom w:val="single" w:color="auto" w:sz="4" w:space="0"/>
              <w:right w:val="single" w:color="auto" w:sz="4" w:space="0"/>
            </w:tcBorders>
          </w:tcPr>
          <w:p w14:paraId="28A2B55C">
            <w:pPr>
              <w:jc w:val="center"/>
              <w:rPr>
                <w:rFonts w:ascii="Times New Roman" w:hAnsi="Times New Roman" w:cs="Times New Roman"/>
              </w:rPr>
            </w:pPr>
            <w:r>
              <w:rPr>
                <w:rFonts w:ascii="Times New Roman" w:cs="Times New Roman" w:hAnsiTheme="minorEastAsia"/>
                <w:szCs w:val="21"/>
              </w:rPr>
              <w:t>主要技术内容的确定、修改、编制等</w:t>
            </w:r>
          </w:p>
        </w:tc>
      </w:tr>
      <w:tr w14:paraId="0EBB1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68B8920F">
            <w:pPr>
              <w:jc w:val="center"/>
              <w:rPr>
                <w:rFonts w:ascii="Times New Roman" w:hAnsi="Times New Roman" w:cs="Times New Roman"/>
                <w:szCs w:val="21"/>
              </w:rPr>
            </w:pPr>
            <w:r>
              <w:rPr>
                <w:rFonts w:ascii="Times New Roman" w:hAnsi="Times New Roman" w:eastAsia="宋体" w:cs="Times New Roman"/>
                <w:szCs w:val="21"/>
              </w:rPr>
              <w:t>赵钟毅</w:t>
            </w:r>
          </w:p>
        </w:tc>
        <w:tc>
          <w:tcPr>
            <w:tcW w:w="1614" w:type="dxa"/>
            <w:tcBorders>
              <w:top w:val="single" w:color="auto" w:sz="4" w:space="0"/>
              <w:left w:val="nil"/>
              <w:bottom w:val="single" w:color="auto" w:sz="4" w:space="0"/>
              <w:right w:val="single" w:color="auto" w:sz="4" w:space="0"/>
            </w:tcBorders>
            <w:vAlign w:val="center"/>
          </w:tcPr>
          <w:p w14:paraId="293BB642">
            <w:pPr>
              <w:jc w:val="center"/>
              <w:rPr>
                <w:rFonts w:ascii="Times New Roman" w:hAnsi="Times New Roman" w:cs="Times New Roman"/>
                <w:szCs w:val="21"/>
              </w:rPr>
            </w:pPr>
            <w:r>
              <w:rPr>
                <w:rFonts w:ascii="Times New Roman" w:cs="Times New Roman" w:hAnsiTheme="minorEastAsia"/>
                <w:szCs w:val="21"/>
              </w:rPr>
              <w:t>助理兽医师</w:t>
            </w:r>
          </w:p>
        </w:tc>
        <w:tc>
          <w:tcPr>
            <w:tcW w:w="2115" w:type="dxa"/>
            <w:tcBorders>
              <w:top w:val="single" w:color="auto" w:sz="4" w:space="0"/>
              <w:left w:val="nil"/>
              <w:bottom w:val="single" w:color="auto" w:sz="4" w:space="0"/>
              <w:right w:val="single" w:color="auto" w:sz="4" w:space="0"/>
            </w:tcBorders>
            <w:vAlign w:val="center"/>
          </w:tcPr>
          <w:p w14:paraId="0A9F4347">
            <w:pPr>
              <w:jc w:val="center"/>
              <w:rPr>
                <w:rFonts w:ascii="Times New Roman" w:hAnsi="Times New Roman" w:cs="Times New Roman"/>
                <w:szCs w:val="21"/>
              </w:rPr>
            </w:pPr>
            <w:r>
              <w:rPr>
                <w:rFonts w:ascii="Times New Roman" w:cs="Times New Roman" w:hAnsiTheme="minorEastAsia"/>
                <w:szCs w:val="21"/>
              </w:rPr>
              <w:t>广西壮族自治区动物疫病预防控制中心</w:t>
            </w:r>
          </w:p>
        </w:tc>
        <w:tc>
          <w:tcPr>
            <w:tcW w:w="3075" w:type="dxa"/>
            <w:tcBorders>
              <w:top w:val="single" w:color="auto" w:sz="4" w:space="0"/>
              <w:left w:val="nil"/>
              <w:bottom w:val="single" w:color="auto" w:sz="4" w:space="0"/>
              <w:right w:val="single" w:color="auto" w:sz="4" w:space="0"/>
            </w:tcBorders>
          </w:tcPr>
          <w:p w14:paraId="5EE63E14">
            <w:pPr>
              <w:jc w:val="center"/>
              <w:rPr>
                <w:rFonts w:ascii="Times New Roman" w:hAnsi="Times New Roman" w:cs="Times New Roman"/>
              </w:rPr>
            </w:pPr>
            <w:r>
              <w:rPr>
                <w:rFonts w:ascii="Times New Roman" w:cs="Times New Roman" w:hAnsiTheme="minorEastAsia"/>
                <w:szCs w:val="21"/>
              </w:rPr>
              <w:t>主要技术内容的确定、修改、编制等</w:t>
            </w:r>
          </w:p>
        </w:tc>
      </w:tr>
      <w:tr w14:paraId="051B5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4F1D0BD1">
            <w:pPr>
              <w:jc w:val="center"/>
              <w:rPr>
                <w:rFonts w:ascii="Times New Roman" w:hAnsi="Times New Roman" w:cs="Times New Roman"/>
                <w:szCs w:val="21"/>
              </w:rPr>
            </w:pPr>
            <w:r>
              <w:rPr>
                <w:rFonts w:ascii="Times New Roman" w:hAnsi="Times New Roman" w:eastAsia="宋体" w:cs="Times New Roman"/>
                <w:szCs w:val="21"/>
              </w:rPr>
              <w:t>胡丽萍</w:t>
            </w:r>
          </w:p>
        </w:tc>
        <w:tc>
          <w:tcPr>
            <w:tcW w:w="1614" w:type="dxa"/>
            <w:tcBorders>
              <w:top w:val="single" w:color="auto" w:sz="4" w:space="0"/>
              <w:left w:val="nil"/>
              <w:bottom w:val="single" w:color="auto" w:sz="4" w:space="0"/>
              <w:right w:val="single" w:color="auto" w:sz="4" w:space="0"/>
            </w:tcBorders>
            <w:vAlign w:val="center"/>
          </w:tcPr>
          <w:p w14:paraId="30C0A456">
            <w:pPr>
              <w:jc w:val="center"/>
              <w:rPr>
                <w:rFonts w:ascii="Times New Roman" w:hAnsi="Times New Roman" w:cs="Times New Roman"/>
                <w:szCs w:val="21"/>
              </w:rPr>
            </w:pPr>
            <w:r>
              <w:rPr>
                <w:rFonts w:ascii="Times New Roman" w:cs="Times New Roman" w:hAnsiTheme="minorEastAsia"/>
                <w:szCs w:val="21"/>
              </w:rPr>
              <w:t>高级兽医师</w:t>
            </w:r>
          </w:p>
        </w:tc>
        <w:tc>
          <w:tcPr>
            <w:tcW w:w="2115" w:type="dxa"/>
            <w:tcBorders>
              <w:top w:val="single" w:color="auto" w:sz="4" w:space="0"/>
              <w:left w:val="nil"/>
              <w:bottom w:val="single" w:color="auto" w:sz="4" w:space="0"/>
              <w:right w:val="single" w:color="auto" w:sz="4" w:space="0"/>
            </w:tcBorders>
            <w:vAlign w:val="center"/>
          </w:tcPr>
          <w:p w14:paraId="5354C0FE">
            <w:pPr>
              <w:jc w:val="center"/>
              <w:rPr>
                <w:rFonts w:ascii="Times New Roman" w:hAnsi="Times New Roman" w:cs="Times New Roman"/>
                <w:szCs w:val="21"/>
              </w:rPr>
            </w:pPr>
            <w:r>
              <w:rPr>
                <w:rFonts w:ascii="Times New Roman" w:cs="Times New Roman" w:hAnsiTheme="minorEastAsia"/>
                <w:szCs w:val="21"/>
              </w:rPr>
              <w:t>广西壮族自治区动物疫病预防控制中心</w:t>
            </w:r>
          </w:p>
        </w:tc>
        <w:tc>
          <w:tcPr>
            <w:tcW w:w="3075" w:type="dxa"/>
            <w:tcBorders>
              <w:top w:val="single" w:color="auto" w:sz="4" w:space="0"/>
              <w:left w:val="nil"/>
              <w:bottom w:val="single" w:color="auto" w:sz="4" w:space="0"/>
              <w:right w:val="single" w:color="auto" w:sz="4" w:space="0"/>
            </w:tcBorders>
            <w:vAlign w:val="center"/>
          </w:tcPr>
          <w:p w14:paraId="11C5F2DA">
            <w:pPr>
              <w:jc w:val="center"/>
              <w:rPr>
                <w:rFonts w:ascii="Times New Roman" w:hAnsi="Times New Roman" w:cs="Times New Roman"/>
                <w:szCs w:val="21"/>
              </w:rPr>
            </w:pPr>
            <w:r>
              <w:rPr>
                <w:rFonts w:ascii="Times New Roman" w:cs="Times New Roman" w:hAnsiTheme="minorEastAsia"/>
                <w:szCs w:val="21"/>
              </w:rPr>
              <w:t>实地考察、走访、调研等</w:t>
            </w:r>
          </w:p>
        </w:tc>
      </w:tr>
      <w:tr w14:paraId="7417F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35DD78D2">
            <w:pPr>
              <w:jc w:val="center"/>
              <w:rPr>
                <w:rFonts w:ascii="Times New Roman" w:hAnsi="Times New Roman" w:cs="Times New Roman"/>
                <w:szCs w:val="21"/>
              </w:rPr>
            </w:pPr>
            <w:r>
              <w:rPr>
                <w:rFonts w:ascii="Times New Roman" w:cs="Times New Roman" w:hAnsiTheme="minorEastAsia"/>
                <w:szCs w:val="21"/>
              </w:rPr>
              <w:t>韦正吉</w:t>
            </w:r>
          </w:p>
        </w:tc>
        <w:tc>
          <w:tcPr>
            <w:tcW w:w="1614" w:type="dxa"/>
            <w:tcBorders>
              <w:top w:val="single" w:color="auto" w:sz="4" w:space="0"/>
              <w:left w:val="nil"/>
              <w:bottom w:val="single" w:color="auto" w:sz="4" w:space="0"/>
              <w:right w:val="single" w:color="auto" w:sz="4" w:space="0"/>
            </w:tcBorders>
            <w:vAlign w:val="center"/>
          </w:tcPr>
          <w:p w14:paraId="2EA549CF">
            <w:pPr>
              <w:jc w:val="center"/>
              <w:rPr>
                <w:rFonts w:ascii="Times New Roman" w:hAnsi="Times New Roman" w:cs="Times New Roman"/>
                <w:szCs w:val="21"/>
              </w:rPr>
            </w:pPr>
            <w:r>
              <w:rPr>
                <w:rFonts w:ascii="Times New Roman" w:cs="Times New Roman" w:hAnsiTheme="minorEastAsia"/>
                <w:szCs w:val="21"/>
              </w:rPr>
              <w:t>高级兽医师</w:t>
            </w:r>
          </w:p>
        </w:tc>
        <w:tc>
          <w:tcPr>
            <w:tcW w:w="2115" w:type="dxa"/>
            <w:tcBorders>
              <w:top w:val="single" w:color="auto" w:sz="4" w:space="0"/>
              <w:left w:val="nil"/>
              <w:bottom w:val="single" w:color="auto" w:sz="4" w:space="0"/>
              <w:right w:val="single" w:color="auto" w:sz="4" w:space="0"/>
            </w:tcBorders>
            <w:vAlign w:val="center"/>
          </w:tcPr>
          <w:p w14:paraId="763D7FBA">
            <w:pPr>
              <w:jc w:val="center"/>
              <w:rPr>
                <w:rFonts w:ascii="Times New Roman" w:hAnsi="Times New Roman" w:cs="Times New Roman"/>
                <w:szCs w:val="21"/>
              </w:rPr>
            </w:pPr>
            <w:r>
              <w:rPr>
                <w:rFonts w:ascii="Times New Roman" w:cs="Times New Roman" w:hAnsiTheme="minorEastAsia"/>
                <w:szCs w:val="21"/>
              </w:rPr>
              <w:t>广西壮族自治区动物疫病预防控制中心</w:t>
            </w:r>
          </w:p>
        </w:tc>
        <w:tc>
          <w:tcPr>
            <w:tcW w:w="3075" w:type="dxa"/>
            <w:tcBorders>
              <w:top w:val="single" w:color="auto" w:sz="4" w:space="0"/>
              <w:left w:val="nil"/>
              <w:bottom w:val="single" w:color="auto" w:sz="4" w:space="0"/>
              <w:right w:val="single" w:color="auto" w:sz="4" w:space="0"/>
            </w:tcBorders>
            <w:vAlign w:val="center"/>
          </w:tcPr>
          <w:p w14:paraId="62CC015C">
            <w:pPr>
              <w:jc w:val="center"/>
              <w:rPr>
                <w:rFonts w:ascii="Times New Roman" w:hAnsi="Times New Roman" w:cs="Times New Roman"/>
                <w:szCs w:val="21"/>
              </w:rPr>
            </w:pPr>
            <w:r>
              <w:rPr>
                <w:rFonts w:ascii="Times New Roman" w:cs="Times New Roman" w:hAnsiTheme="minorEastAsia"/>
                <w:szCs w:val="21"/>
              </w:rPr>
              <w:t>实地考察、走访、调研等</w:t>
            </w:r>
          </w:p>
        </w:tc>
      </w:tr>
      <w:tr w14:paraId="20F8E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3CDDE46D">
            <w:pPr>
              <w:jc w:val="center"/>
              <w:rPr>
                <w:rFonts w:ascii="Times New Roman" w:hAnsi="Times New Roman" w:cs="Times New Roman"/>
                <w:szCs w:val="21"/>
              </w:rPr>
            </w:pPr>
            <w:r>
              <w:rPr>
                <w:rFonts w:ascii="Times New Roman" w:hAnsi="Times New Roman" w:eastAsia="宋体" w:cs="Times New Roman"/>
                <w:szCs w:val="21"/>
              </w:rPr>
              <w:t>辛佳亮</w:t>
            </w:r>
          </w:p>
        </w:tc>
        <w:tc>
          <w:tcPr>
            <w:tcW w:w="1614" w:type="dxa"/>
            <w:tcBorders>
              <w:top w:val="single" w:color="auto" w:sz="4" w:space="0"/>
              <w:left w:val="nil"/>
              <w:bottom w:val="single" w:color="auto" w:sz="4" w:space="0"/>
              <w:right w:val="single" w:color="auto" w:sz="4" w:space="0"/>
            </w:tcBorders>
            <w:vAlign w:val="center"/>
          </w:tcPr>
          <w:p w14:paraId="3199377A">
            <w:pPr>
              <w:jc w:val="center"/>
              <w:rPr>
                <w:rFonts w:ascii="Times New Roman" w:hAnsi="Times New Roman" w:cs="Times New Roman"/>
                <w:szCs w:val="21"/>
              </w:rPr>
            </w:pPr>
            <w:r>
              <w:rPr>
                <w:rFonts w:ascii="Times New Roman" w:cs="Times New Roman" w:hAnsiTheme="minorEastAsia"/>
                <w:szCs w:val="21"/>
              </w:rPr>
              <w:t>讲师</w:t>
            </w:r>
          </w:p>
        </w:tc>
        <w:tc>
          <w:tcPr>
            <w:tcW w:w="2115" w:type="dxa"/>
            <w:tcBorders>
              <w:top w:val="single" w:color="auto" w:sz="4" w:space="0"/>
              <w:left w:val="nil"/>
              <w:bottom w:val="single" w:color="auto" w:sz="4" w:space="0"/>
              <w:right w:val="single" w:color="auto" w:sz="4" w:space="0"/>
            </w:tcBorders>
            <w:vAlign w:val="center"/>
          </w:tcPr>
          <w:p w14:paraId="6FB65A5E">
            <w:pPr>
              <w:jc w:val="center"/>
              <w:rPr>
                <w:rFonts w:ascii="Times New Roman" w:hAnsi="Times New Roman" w:cs="Times New Roman"/>
                <w:szCs w:val="21"/>
              </w:rPr>
            </w:pPr>
            <w:r>
              <w:rPr>
                <w:rFonts w:ascii="Times New Roman" w:cs="Times New Roman" w:hAnsiTheme="minorEastAsia"/>
                <w:szCs w:val="21"/>
              </w:rPr>
              <w:t>四川农业大学</w:t>
            </w:r>
          </w:p>
        </w:tc>
        <w:tc>
          <w:tcPr>
            <w:tcW w:w="3075" w:type="dxa"/>
            <w:tcBorders>
              <w:top w:val="single" w:color="auto" w:sz="4" w:space="0"/>
              <w:left w:val="nil"/>
              <w:bottom w:val="single" w:color="auto" w:sz="4" w:space="0"/>
              <w:right w:val="single" w:color="auto" w:sz="4" w:space="0"/>
            </w:tcBorders>
            <w:vAlign w:val="center"/>
          </w:tcPr>
          <w:p w14:paraId="66D8FC73">
            <w:pPr>
              <w:jc w:val="center"/>
              <w:rPr>
                <w:rFonts w:ascii="Times New Roman" w:hAnsi="Times New Roman" w:cs="Times New Roman"/>
                <w:szCs w:val="21"/>
              </w:rPr>
            </w:pPr>
            <w:r>
              <w:rPr>
                <w:rFonts w:ascii="Times New Roman" w:cs="Times New Roman" w:hAnsiTheme="minorEastAsia"/>
                <w:szCs w:val="21"/>
              </w:rPr>
              <w:t>主要技术内容的确定等</w:t>
            </w:r>
          </w:p>
        </w:tc>
      </w:tr>
      <w:tr w14:paraId="490E7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1F73E44D">
            <w:pPr>
              <w:jc w:val="center"/>
              <w:rPr>
                <w:rFonts w:ascii="Times New Roman" w:hAnsi="Times New Roman" w:cs="Times New Roman"/>
                <w:szCs w:val="21"/>
              </w:rPr>
            </w:pPr>
            <w:r>
              <w:rPr>
                <w:rFonts w:ascii="Times New Roman" w:hAnsi="Times New Roman" w:eastAsia="宋体" w:cs="Times New Roman"/>
                <w:szCs w:val="21"/>
              </w:rPr>
              <w:t>丁嘉烽</w:t>
            </w:r>
          </w:p>
        </w:tc>
        <w:tc>
          <w:tcPr>
            <w:tcW w:w="1614" w:type="dxa"/>
            <w:tcBorders>
              <w:top w:val="single" w:color="auto" w:sz="4" w:space="0"/>
              <w:left w:val="nil"/>
              <w:bottom w:val="single" w:color="auto" w:sz="4" w:space="0"/>
              <w:right w:val="single" w:color="auto" w:sz="4" w:space="0"/>
            </w:tcBorders>
            <w:vAlign w:val="center"/>
          </w:tcPr>
          <w:p w14:paraId="37976461">
            <w:pPr>
              <w:jc w:val="center"/>
              <w:rPr>
                <w:rFonts w:ascii="Times New Roman" w:hAnsi="Times New Roman" w:cs="Times New Roman"/>
                <w:szCs w:val="21"/>
              </w:rPr>
            </w:pPr>
            <w:r>
              <w:rPr>
                <w:rFonts w:ascii="Times New Roman" w:cs="Times New Roman" w:hAnsiTheme="minorEastAsia"/>
                <w:szCs w:val="21"/>
              </w:rPr>
              <w:t>讲师</w:t>
            </w:r>
          </w:p>
        </w:tc>
        <w:tc>
          <w:tcPr>
            <w:tcW w:w="2115" w:type="dxa"/>
            <w:tcBorders>
              <w:top w:val="single" w:color="auto" w:sz="4" w:space="0"/>
              <w:left w:val="nil"/>
              <w:bottom w:val="single" w:color="auto" w:sz="4" w:space="0"/>
              <w:right w:val="single" w:color="auto" w:sz="4" w:space="0"/>
            </w:tcBorders>
            <w:vAlign w:val="center"/>
          </w:tcPr>
          <w:p w14:paraId="75D266F0">
            <w:pPr>
              <w:jc w:val="center"/>
              <w:rPr>
                <w:rFonts w:ascii="Times New Roman" w:hAnsi="Times New Roman" w:cs="Times New Roman"/>
                <w:szCs w:val="21"/>
              </w:rPr>
            </w:pPr>
            <w:r>
              <w:rPr>
                <w:rFonts w:ascii="Times New Roman" w:cs="Times New Roman" w:hAnsiTheme="minorEastAsia"/>
                <w:szCs w:val="21"/>
              </w:rPr>
              <w:t>广西大学</w:t>
            </w:r>
          </w:p>
        </w:tc>
        <w:tc>
          <w:tcPr>
            <w:tcW w:w="3075" w:type="dxa"/>
            <w:tcBorders>
              <w:top w:val="single" w:color="auto" w:sz="4" w:space="0"/>
              <w:left w:val="nil"/>
              <w:bottom w:val="single" w:color="auto" w:sz="4" w:space="0"/>
              <w:right w:val="single" w:color="auto" w:sz="4" w:space="0"/>
            </w:tcBorders>
            <w:vAlign w:val="center"/>
          </w:tcPr>
          <w:p w14:paraId="5224A209">
            <w:pPr>
              <w:jc w:val="center"/>
              <w:rPr>
                <w:rFonts w:ascii="Times New Roman" w:hAnsi="Times New Roman" w:cs="Times New Roman"/>
                <w:szCs w:val="21"/>
              </w:rPr>
            </w:pPr>
            <w:r>
              <w:rPr>
                <w:rFonts w:ascii="Times New Roman" w:cs="Times New Roman" w:hAnsiTheme="minorEastAsia"/>
                <w:szCs w:val="21"/>
              </w:rPr>
              <w:t>主要技术内容的确定、修改、编制等</w:t>
            </w:r>
          </w:p>
        </w:tc>
      </w:tr>
      <w:tr w14:paraId="63038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21C82621">
            <w:pPr>
              <w:jc w:val="center"/>
              <w:rPr>
                <w:rFonts w:ascii="Times New Roman" w:hAnsi="Times New Roman" w:cs="Times New Roman"/>
                <w:szCs w:val="21"/>
              </w:rPr>
            </w:pPr>
            <w:r>
              <w:rPr>
                <w:rFonts w:ascii="Times New Roman" w:hAnsi="Times New Roman" w:eastAsia="宋体" w:cs="Times New Roman"/>
                <w:szCs w:val="21"/>
              </w:rPr>
              <w:t>熊锦萍</w:t>
            </w:r>
          </w:p>
        </w:tc>
        <w:tc>
          <w:tcPr>
            <w:tcW w:w="1614" w:type="dxa"/>
            <w:tcBorders>
              <w:top w:val="single" w:color="auto" w:sz="4" w:space="0"/>
              <w:left w:val="nil"/>
              <w:bottom w:val="single" w:color="auto" w:sz="4" w:space="0"/>
              <w:right w:val="single" w:color="auto" w:sz="4" w:space="0"/>
            </w:tcBorders>
            <w:vAlign w:val="center"/>
          </w:tcPr>
          <w:p w14:paraId="53E54A4B">
            <w:pPr>
              <w:jc w:val="center"/>
              <w:rPr>
                <w:rFonts w:ascii="Times New Roman" w:hAnsi="Times New Roman" w:cs="Times New Roman"/>
                <w:szCs w:val="21"/>
              </w:rPr>
            </w:pPr>
            <w:r>
              <w:rPr>
                <w:rFonts w:ascii="Times New Roman" w:cs="Times New Roman" w:hAnsiTheme="minorEastAsia"/>
                <w:szCs w:val="21"/>
              </w:rPr>
              <w:t>副总经理</w:t>
            </w:r>
          </w:p>
        </w:tc>
        <w:tc>
          <w:tcPr>
            <w:tcW w:w="2115" w:type="dxa"/>
            <w:tcBorders>
              <w:top w:val="single" w:color="auto" w:sz="4" w:space="0"/>
              <w:left w:val="nil"/>
              <w:bottom w:val="single" w:color="auto" w:sz="4" w:space="0"/>
              <w:right w:val="single" w:color="auto" w:sz="4" w:space="0"/>
            </w:tcBorders>
            <w:vAlign w:val="center"/>
          </w:tcPr>
          <w:p w14:paraId="2DE6D5EE">
            <w:pPr>
              <w:jc w:val="center"/>
              <w:rPr>
                <w:rFonts w:ascii="Times New Roman" w:hAnsi="Times New Roman" w:cs="Times New Roman"/>
                <w:szCs w:val="21"/>
              </w:rPr>
            </w:pPr>
            <w:r>
              <w:rPr>
                <w:rFonts w:ascii="Times New Roman" w:cs="Times New Roman" w:hAnsiTheme="minorEastAsia"/>
                <w:szCs w:val="21"/>
              </w:rPr>
              <w:t>皇氏赛尔生物科技（广西）有限公司</w:t>
            </w:r>
          </w:p>
        </w:tc>
        <w:tc>
          <w:tcPr>
            <w:tcW w:w="3075" w:type="dxa"/>
            <w:tcBorders>
              <w:top w:val="single" w:color="auto" w:sz="4" w:space="0"/>
              <w:left w:val="nil"/>
              <w:bottom w:val="single" w:color="auto" w:sz="4" w:space="0"/>
              <w:right w:val="single" w:color="auto" w:sz="4" w:space="0"/>
            </w:tcBorders>
            <w:vAlign w:val="center"/>
          </w:tcPr>
          <w:p w14:paraId="7DFC45EF">
            <w:pPr>
              <w:jc w:val="center"/>
              <w:rPr>
                <w:rFonts w:ascii="Times New Roman" w:hAnsi="Times New Roman" w:cs="Times New Roman"/>
                <w:szCs w:val="21"/>
              </w:rPr>
            </w:pPr>
            <w:r>
              <w:rPr>
                <w:rFonts w:ascii="Times New Roman" w:cs="Times New Roman" w:hAnsiTheme="minorEastAsia"/>
                <w:szCs w:val="21"/>
              </w:rPr>
              <w:t>实地考察、走访、调研</w:t>
            </w:r>
            <w:r>
              <w:rPr>
                <w:rFonts w:ascii="Times New Roman" w:hAnsi="Times New Roman" w:cs="Times New Roman"/>
                <w:szCs w:val="21"/>
              </w:rPr>
              <w:t>,</w:t>
            </w:r>
            <w:r>
              <w:rPr>
                <w:rFonts w:ascii="Times New Roman" w:cs="Times New Roman" w:hAnsiTheme="minorEastAsia"/>
                <w:szCs w:val="21"/>
              </w:rPr>
              <w:t>修改、编制等</w:t>
            </w:r>
          </w:p>
        </w:tc>
      </w:tr>
      <w:tr w14:paraId="028DA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27AB0767">
            <w:pPr>
              <w:jc w:val="center"/>
              <w:rPr>
                <w:rFonts w:ascii="Times New Roman" w:hAnsi="Times New Roman" w:cs="Times New Roman"/>
                <w:szCs w:val="21"/>
              </w:rPr>
            </w:pPr>
            <w:r>
              <w:rPr>
                <w:rFonts w:ascii="Times New Roman" w:hAnsi="Times New Roman" w:eastAsia="宋体" w:cs="Times New Roman"/>
                <w:szCs w:val="21"/>
              </w:rPr>
              <w:t>张红云</w:t>
            </w:r>
          </w:p>
        </w:tc>
        <w:tc>
          <w:tcPr>
            <w:tcW w:w="1614" w:type="dxa"/>
            <w:tcBorders>
              <w:top w:val="single" w:color="auto" w:sz="4" w:space="0"/>
              <w:left w:val="nil"/>
              <w:bottom w:val="single" w:color="auto" w:sz="4" w:space="0"/>
              <w:right w:val="single" w:color="auto" w:sz="4" w:space="0"/>
            </w:tcBorders>
            <w:vAlign w:val="center"/>
          </w:tcPr>
          <w:p w14:paraId="4E270B6F">
            <w:pPr>
              <w:jc w:val="center"/>
              <w:rPr>
                <w:rFonts w:ascii="Times New Roman" w:hAnsi="Times New Roman" w:cs="Times New Roman"/>
                <w:szCs w:val="21"/>
              </w:rPr>
            </w:pPr>
            <w:r>
              <w:rPr>
                <w:rFonts w:ascii="Times New Roman" w:cs="Times New Roman" w:hAnsiTheme="minorEastAsia"/>
                <w:szCs w:val="21"/>
              </w:rPr>
              <w:t>高级兽医师</w:t>
            </w:r>
          </w:p>
        </w:tc>
        <w:tc>
          <w:tcPr>
            <w:tcW w:w="2115" w:type="dxa"/>
            <w:tcBorders>
              <w:top w:val="single" w:color="auto" w:sz="4" w:space="0"/>
              <w:left w:val="nil"/>
              <w:bottom w:val="single" w:color="auto" w:sz="4" w:space="0"/>
              <w:right w:val="single" w:color="auto" w:sz="4" w:space="0"/>
            </w:tcBorders>
            <w:vAlign w:val="center"/>
          </w:tcPr>
          <w:p w14:paraId="2C2D0D27">
            <w:pPr>
              <w:jc w:val="center"/>
              <w:rPr>
                <w:rFonts w:ascii="Times New Roman" w:hAnsi="Times New Roman" w:cs="Times New Roman"/>
                <w:szCs w:val="21"/>
              </w:rPr>
            </w:pPr>
            <w:r>
              <w:rPr>
                <w:rFonts w:ascii="Times New Roman" w:cs="Times New Roman" w:hAnsiTheme="minorEastAsia"/>
                <w:szCs w:val="21"/>
              </w:rPr>
              <w:t>广西</w:t>
            </w:r>
            <w:r>
              <w:rPr>
                <w:rFonts w:ascii="Times New Roman" w:hAnsi="Times New Roman" w:eastAsia="宋体" w:cs="Times New Roman"/>
                <w:szCs w:val="21"/>
              </w:rPr>
              <w:t>悦牧生物科技有限公司</w:t>
            </w:r>
          </w:p>
        </w:tc>
        <w:tc>
          <w:tcPr>
            <w:tcW w:w="3075" w:type="dxa"/>
            <w:tcBorders>
              <w:top w:val="single" w:color="auto" w:sz="4" w:space="0"/>
              <w:left w:val="nil"/>
              <w:bottom w:val="single" w:color="auto" w:sz="4" w:space="0"/>
              <w:right w:val="single" w:color="auto" w:sz="4" w:space="0"/>
            </w:tcBorders>
            <w:vAlign w:val="center"/>
          </w:tcPr>
          <w:p w14:paraId="542394DC">
            <w:pPr>
              <w:jc w:val="center"/>
              <w:rPr>
                <w:rFonts w:ascii="Times New Roman" w:hAnsi="Times New Roman" w:cs="Times New Roman"/>
                <w:szCs w:val="21"/>
              </w:rPr>
            </w:pPr>
            <w:r>
              <w:rPr>
                <w:rFonts w:ascii="Times New Roman" w:cs="Times New Roman" w:hAnsiTheme="minorEastAsia"/>
                <w:szCs w:val="21"/>
              </w:rPr>
              <w:t>修改、编制等</w:t>
            </w:r>
          </w:p>
        </w:tc>
      </w:tr>
      <w:tr w14:paraId="532FF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0B422829">
            <w:pPr>
              <w:jc w:val="center"/>
              <w:rPr>
                <w:rFonts w:ascii="Times New Roman" w:hAnsi="Times New Roman" w:cs="Times New Roman"/>
                <w:szCs w:val="21"/>
              </w:rPr>
            </w:pPr>
            <w:r>
              <w:rPr>
                <w:rFonts w:ascii="Times New Roman" w:hAnsi="Times New Roman" w:eastAsia="宋体" w:cs="Times New Roman"/>
                <w:szCs w:val="21"/>
              </w:rPr>
              <w:t>杨铭芬</w:t>
            </w:r>
          </w:p>
        </w:tc>
        <w:tc>
          <w:tcPr>
            <w:tcW w:w="1614" w:type="dxa"/>
            <w:tcBorders>
              <w:top w:val="single" w:color="auto" w:sz="4" w:space="0"/>
              <w:left w:val="nil"/>
              <w:bottom w:val="single" w:color="auto" w:sz="4" w:space="0"/>
              <w:right w:val="single" w:color="auto" w:sz="4" w:space="0"/>
            </w:tcBorders>
            <w:vAlign w:val="center"/>
          </w:tcPr>
          <w:p w14:paraId="3CAE9318">
            <w:pPr>
              <w:jc w:val="center"/>
              <w:rPr>
                <w:rFonts w:ascii="Times New Roman" w:hAnsi="Times New Roman" w:cs="Times New Roman"/>
                <w:szCs w:val="21"/>
              </w:rPr>
            </w:pPr>
            <w:r>
              <w:rPr>
                <w:rFonts w:ascii="Times New Roman" w:cs="Times New Roman" w:hAnsiTheme="minorEastAsia"/>
                <w:szCs w:val="21"/>
              </w:rPr>
              <w:t>高级兽医师</w:t>
            </w:r>
          </w:p>
        </w:tc>
        <w:tc>
          <w:tcPr>
            <w:tcW w:w="2115" w:type="dxa"/>
            <w:tcBorders>
              <w:top w:val="single" w:color="auto" w:sz="4" w:space="0"/>
              <w:left w:val="nil"/>
              <w:bottom w:val="single" w:color="auto" w:sz="4" w:space="0"/>
              <w:right w:val="single" w:color="auto" w:sz="4" w:space="0"/>
            </w:tcBorders>
            <w:vAlign w:val="center"/>
          </w:tcPr>
          <w:p w14:paraId="5A268857">
            <w:pPr>
              <w:jc w:val="center"/>
              <w:rPr>
                <w:rFonts w:ascii="Times New Roman" w:hAnsi="Times New Roman" w:cs="Times New Roman"/>
                <w:szCs w:val="21"/>
              </w:rPr>
            </w:pPr>
            <w:r>
              <w:rPr>
                <w:rFonts w:ascii="Times New Roman" w:cs="Times New Roman" w:hAnsiTheme="minorEastAsia"/>
                <w:szCs w:val="21"/>
              </w:rPr>
              <w:t>南宁市动物疫病预防控制中心</w:t>
            </w:r>
          </w:p>
        </w:tc>
        <w:tc>
          <w:tcPr>
            <w:tcW w:w="3075" w:type="dxa"/>
            <w:tcBorders>
              <w:top w:val="single" w:color="auto" w:sz="4" w:space="0"/>
              <w:left w:val="nil"/>
              <w:bottom w:val="single" w:color="auto" w:sz="4" w:space="0"/>
              <w:right w:val="single" w:color="auto" w:sz="4" w:space="0"/>
            </w:tcBorders>
            <w:vAlign w:val="center"/>
          </w:tcPr>
          <w:p w14:paraId="70A0210E">
            <w:pPr>
              <w:jc w:val="center"/>
              <w:rPr>
                <w:rFonts w:ascii="Times New Roman" w:hAnsi="Times New Roman" w:cs="Times New Roman"/>
                <w:szCs w:val="21"/>
              </w:rPr>
            </w:pPr>
            <w:r>
              <w:rPr>
                <w:rFonts w:ascii="Times New Roman" w:cs="Times New Roman" w:hAnsiTheme="minorEastAsia"/>
                <w:szCs w:val="21"/>
              </w:rPr>
              <w:t>修改、编制等</w:t>
            </w:r>
          </w:p>
        </w:tc>
      </w:tr>
      <w:tr w14:paraId="6ADB7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412297CB">
            <w:pPr>
              <w:jc w:val="center"/>
              <w:rPr>
                <w:rFonts w:ascii="Times New Roman" w:hAnsi="Times New Roman" w:cs="Times New Roman"/>
                <w:szCs w:val="21"/>
              </w:rPr>
            </w:pPr>
            <w:r>
              <w:rPr>
                <w:rFonts w:ascii="Times New Roman" w:hAnsi="Times New Roman" w:eastAsia="宋体" w:cs="Times New Roman"/>
                <w:szCs w:val="21"/>
              </w:rPr>
              <w:t>张华智</w:t>
            </w:r>
          </w:p>
        </w:tc>
        <w:tc>
          <w:tcPr>
            <w:tcW w:w="1614" w:type="dxa"/>
            <w:tcBorders>
              <w:top w:val="single" w:color="auto" w:sz="4" w:space="0"/>
              <w:left w:val="nil"/>
              <w:bottom w:val="single" w:color="auto" w:sz="4" w:space="0"/>
              <w:right w:val="single" w:color="auto" w:sz="4" w:space="0"/>
            </w:tcBorders>
            <w:vAlign w:val="center"/>
          </w:tcPr>
          <w:p w14:paraId="6CFB526E">
            <w:pPr>
              <w:jc w:val="center"/>
              <w:rPr>
                <w:rFonts w:ascii="Times New Roman" w:hAnsi="Times New Roman" w:cs="Times New Roman"/>
                <w:szCs w:val="21"/>
              </w:rPr>
            </w:pPr>
            <w:r>
              <w:rPr>
                <w:rFonts w:ascii="Times New Roman" w:cs="Times New Roman" w:hAnsiTheme="minorEastAsia"/>
                <w:szCs w:val="21"/>
              </w:rPr>
              <w:t>正高级兽医师</w:t>
            </w:r>
          </w:p>
        </w:tc>
        <w:tc>
          <w:tcPr>
            <w:tcW w:w="2115" w:type="dxa"/>
            <w:tcBorders>
              <w:top w:val="single" w:color="auto" w:sz="4" w:space="0"/>
              <w:left w:val="nil"/>
              <w:bottom w:val="single" w:color="auto" w:sz="4" w:space="0"/>
              <w:right w:val="single" w:color="auto" w:sz="4" w:space="0"/>
            </w:tcBorders>
            <w:vAlign w:val="center"/>
          </w:tcPr>
          <w:p w14:paraId="12637BE1">
            <w:pPr>
              <w:jc w:val="center"/>
              <w:rPr>
                <w:rFonts w:ascii="Times New Roman" w:hAnsi="Times New Roman" w:cs="Times New Roman"/>
                <w:szCs w:val="21"/>
              </w:rPr>
            </w:pPr>
            <w:r>
              <w:rPr>
                <w:rFonts w:ascii="Times New Roman" w:cs="Times New Roman" w:hAnsiTheme="minorEastAsia"/>
                <w:szCs w:val="21"/>
              </w:rPr>
              <w:t>钦州市动物疫病预防控制中心</w:t>
            </w:r>
          </w:p>
        </w:tc>
        <w:tc>
          <w:tcPr>
            <w:tcW w:w="3075" w:type="dxa"/>
            <w:tcBorders>
              <w:top w:val="single" w:color="auto" w:sz="4" w:space="0"/>
              <w:left w:val="nil"/>
              <w:bottom w:val="single" w:color="auto" w:sz="4" w:space="0"/>
              <w:right w:val="single" w:color="auto" w:sz="4" w:space="0"/>
            </w:tcBorders>
            <w:vAlign w:val="center"/>
          </w:tcPr>
          <w:p w14:paraId="43C6E4C8">
            <w:pPr>
              <w:jc w:val="center"/>
              <w:rPr>
                <w:rFonts w:ascii="Times New Roman" w:hAnsi="Times New Roman" w:cs="Times New Roman"/>
                <w:szCs w:val="21"/>
              </w:rPr>
            </w:pPr>
            <w:r>
              <w:rPr>
                <w:rFonts w:ascii="Times New Roman" w:cs="Times New Roman" w:hAnsiTheme="minorEastAsia"/>
                <w:szCs w:val="21"/>
              </w:rPr>
              <w:t>修改、编制等</w:t>
            </w:r>
          </w:p>
        </w:tc>
      </w:tr>
      <w:tr w14:paraId="7BE65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052D5BF8">
            <w:pPr>
              <w:jc w:val="center"/>
              <w:rPr>
                <w:rFonts w:ascii="Times New Roman" w:hAnsi="Times New Roman" w:cs="Times New Roman"/>
                <w:szCs w:val="21"/>
              </w:rPr>
            </w:pPr>
            <w:r>
              <w:rPr>
                <w:rFonts w:ascii="Times New Roman" w:hAnsi="Times New Roman" w:eastAsia="宋体" w:cs="Times New Roman"/>
                <w:szCs w:val="21"/>
              </w:rPr>
              <w:t>莫模双</w:t>
            </w:r>
          </w:p>
        </w:tc>
        <w:tc>
          <w:tcPr>
            <w:tcW w:w="1614" w:type="dxa"/>
            <w:tcBorders>
              <w:top w:val="single" w:color="auto" w:sz="4" w:space="0"/>
              <w:left w:val="nil"/>
              <w:bottom w:val="single" w:color="auto" w:sz="4" w:space="0"/>
              <w:right w:val="single" w:color="auto" w:sz="4" w:space="0"/>
            </w:tcBorders>
            <w:vAlign w:val="center"/>
          </w:tcPr>
          <w:p w14:paraId="669309EC">
            <w:pPr>
              <w:jc w:val="center"/>
              <w:rPr>
                <w:rFonts w:ascii="Times New Roman" w:hAnsi="Times New Roman" w:cs="Times New Roman"/>
                <w:szCs w:val="21"/>
              </w:rPr>
            </w:pPr>
            <w:r>
              <w:rPr>
                <w:rFonts w:ascii="Times New Roman" w:cs="Times New Roman" w:hAnsiTheme="minorEastAsia"/>
                <w:szCs w:val="21"/>
              </w:rPr>
              <w:t>高级兽医师</w:t>
            </w:r>
          </w:p>
        </w:tc>
        <w:tc>
          <w:tcPr>
            <w:tcW w:w="2115" w:type="dxa"/>
            <w:tcBorders>
              <w:top w:val="single" w:color="auto" w:sz="4" w:space="0"/>
              <w:left w:val="nil"/>
              <w:bottom w:val="single" w:color="auto" w:sz="4" w:space="0"/>
              <w:right w:val="single" w:color="auto" w:sz="4" w:space="0"/>
            </w:tcBorders>
            <w:vAlign w:val="center"/>
          </w:tcPr>
          <w:p w14:paraId="4134706F">
            <w:pPr>
              <w:jc w:val="center"/>
              <w:rPr>
                <w:rFonts w:ascii="Times New Roman" w:hAnsi="Times New Roman" w:cs="Times New Roman"/>
                <w:szCs w:val="21"/>
              </w:rPr>
            </w:pPr>
            <w:r>
              <w:rPr>
                <w:rFonts w:ascii="Times New Roman" w:cs="Times New Roman" w:hAnsiTheme="minorEastAsia"/>
                <w:szCs w:val="21"/>
              </w:rPr>
              <w:t>防城港市动物疫病预防控制中心</w:t>
            </w:r>
          </w:p>
        </w:tc>
        <w:tc>
          <w:tcPr>
            <w:tcW w:w="3075" w:type="dxa"/>
            <w:tcBorders>
              <w:top w:val="single" w:color="auto" w:sz="4" w:space="0"/>
              <w:left w:val="nil"/>
              <w:bottom w:val="single" w:color="auto" w:sz="4" w:space="0"/>
              <w:right w:val="single" w:color="auto" w:sz="4" w:space="0"/>
            </w:tcBorders>
            <w:vAlign w:val="center"/>
          </w:tcPr>
          <w:p w14:paraId="282153BC">
            <w:pPr>
              <w:jc w:val="center"/>
              <w:rPr>
                <w:rFonts w:ascii="Times New Roman" w:hAnsi="Times New Roman" w:cs="Times New Roman"/>
                <w:szCs w:val="21"/>
              </w:rPr>
            </w:pPr>
            <w:r>
              <w:rPr>
                <w:rFonts w:ascii="Times New Roman" w:cs="Times New Roman" w:hAnsiTheme="minorEastAsia"/>
                <w:szCs w:val="21"/>
              </w:rPr>
              <w:t>修改、编制等</w:t>
            </w:r>
          </w:p>
        </w:tc>
      </w:tr>
      <w:tr w14:paraId="275F4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72241E59">
            <w:pPr>
              <w:jc w:val="center"/>
              <w:rPr>
                <w:rFonts w:ascii="Times New Roman" w:hAnsi="Times New Roman" w:cs="Times New Roman"/>
                <w:szCs w:val="21"/>
              </w:rPr>
            </w:pPr>
            <w:r>
              <w:rPr>
                <w:rFonts w:ascii="Times New Roman" w:hAnsi="Times New Roman" w:eastAsia="宋体" w:cs="Times New Roman"/>
                <w:szCs w:val="21"/>
              </w:rPr>
              <w:t>吴健皓</w:t>
            </w:r>
          </w:p>
        </w:tc>
        <w:tc>
          <w:tcPr>
            <w:tcW w:w="1614" w:type="dxa"/>
            <w:tcBorders>
              <w:top w:val="single" w:color="auto" w:sz="4" w:space="0"/>
              <w:left w:val="nil"/>
              <w:bottom w:val="single" w:color="auto" w:sz="4" w:space="0"/>
              <w:right w:val="single" w:color="auto" w:sz="4" w:space="0"/>
            </w:tcBorders>
            <w:vAlign w:val="center"/>
          </w:tcPr>
          <w:p w14:paraId="4BA68E97">
            <w:pPr>
              <w:jc w:val="center"/>
              <w:rPr>
                <w:rFonts w:ascii="Times New Roman" w:hAnsi="Times New Roman" w:cs="Times New Roman"/>
                <w:szCs w:val="21"/>
              </w:rPr>
            </w:pPr>
            <w:r>
              <w:rPr>
                <w:rFonts w:ascii="Times New Roman" w:cs="Times New Roman" w:hAnsiTheme="minorEastAsia"/>
                <w:szCs w:val="21"/>
              </w:rPr>
              <w:t>兽医师</w:t>
            </w:r>
          </w:p>
        </w:tc>
        <w:tc>
          <w:tcPr>
            <w:tcW w:w="2115" w:type="dxa"/>
            <w:tcBorders>
              <w:top w:val="single" w:color="auto" w:sz="4" w:space="0"/>
              <w:left w:val="nil"/>
              <w:bottom w:val="single" w:color="auto" w:sz="4" w:space="0"/>
              <w:right w:val="single" w:color="auto" w:sz="4" w:space="0"/>
            </w:tcBorders>
            <w:vAlign w:val="center"/>
          </w:tcPr>
          <w:p w14:paraId="64680B50">
            <w:pPr>
              <w:jc w:val="center"/>
              <w:rPr>
                <w:rFonts w:ascii="Times New Roman" w:hAnsi="Times New Roman" w:cs="Times New Roman"/>
                <w:szCs w:val="21"/>
              </w:rPr>
            </w:pPr>
            <w:r>
              <w:rPr>
                <w:rFonts w:ascii="Times New Roman" w:cs="Times New Roman" w:hAnsiTheme="minorEastAsia"/>
                <w:szCs w:val="21"/>
              </w:rPr>
              <w:t>广西壮族自治区动物疫病预防控制中心</w:t>
            </w:r>
          </w:p>
        </w:tc>
        <w:tc>
          <w:tcPr>
            <w:tcW w:w="3075" w:type="dxa"/>
            <w:tcBorders>
              <w:top w:val="single" w:color="auto" w:sz="4" w:space="0"/>
              <w:left w:val="nil"/>
              <w:bottom w:val="single" w:color="auto" w:sz="4" w:space="0"/>
              <w:right w:val="single" w:color="auto" w:sz="4" w:space="0"/>
            </w:tcBorders>
            <w:vAlign w:val="center"/>
          </w:tcPr>
          <w:p w14:paraId="4794637E">
            <w:pPr>
              <w:jc w:val="center"/>
              <w:rPr>
                <w:rFonts w:ascii="Times New Roman" w:hAnsi="Times New Roman" w:cs="Times New Roman"/>
                <w:szCs w:val="21"/>
              </w:rPr>
            </w:pPr>
            <w:r>
              <w:rPr>
                <w:rFonts w:ascii="Times New Roman" w:cs="Times New Roman" w:hAnsiTheme="minorEastAsia"/>
                <w:szCs w:val="21"/>
              </w:rPr>
              <w:t>修改、编制等</w:t>
            </w:r>
          </w:p>
        </w:tc>
      </w:tr>
      <w:tr w14:paraId="35B78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51A367A3">
            <w:pPr>
              <w:jc w:val="center"/>
              <w:rPr>
                <w:rFonts w:ascii="Times New Roman" w:hAnsi="Times New Roman" w:cs="Times New Roman"/>
                <w:szCs w:val="21"/>
              </w:rPr>
            </w:pPr>
            <w:r>
              <w:rPr>
                <w:rFonts w:ascii="Times New Roman" w:hAnsi="Times New Roman" w:eastAsia="宋体" w:cs="Times New Roman"/>
                <w:szCs w:val="21"/>
              </w:rPr>
              <w:t>吴琦琳</w:t>
            </w:r>
          </w:p>
        </w:tc>
        <w:tc>
          <w:tcPr>
            <w:tcW w:w="1614" w:type="dxa"/>
            <w:tcBorders>
              <w:top w:val="single" w:color="auto" w:sz="4" w:space="0"/>
              <w:left w:val="nil"/>
              <w:bottom w:val="single" w:color="auto" w:sz="4" w:space="0"/>
              <w:right w:val="single" w:color="auto" w:sz="4" w:space="0"/>
            </w:tcBorders>
            <w:vAlign w:val="center"/>
          </w:tcPr>
          <w:p w14:paraId="3328D148">
            <w:pPr>
              <w:jc w:val="center"/>
              <w:rPr>
                <w:rFonts w:ascii="Times New Roman" w:hAnsi="Times New Roman" w:cs="Times New Roman"/>
                <w:szCs w:val="21"/>
              </w:rPr>
            </w:pPr>
            <w:r>
              <w:rPr>
                <w:rFonts w:ascii="Times New Roman" w:cs="Times New Roman" w:hAnsiTheme="minorEastAsia"/>
                <w:szCs w:val="21"/>
              </w:rPr>
              <w:t>兽医师</w:t>
            </w:r>
          </w:p>
        </w:tc>
        <w:tc>
          <w:tcPr>
            <w:tcW w:w="2115" w:type="dxa"/>
            <w:tcBorders>
              <w:top w:val="single" w:color="auto" w:sz="4" w:space="0"/>
              <w:left w:val="nil"/>
              <w:bottom w:val="single" w:color="auto" w:sz="4" w:space="0"/>
              <w:right w:val="single" w:color="auto" w:sz="4" w:space="0"/>
            </w:tcBorders>
            <w:vAlign w:val="center"/>
          </w:tcPr>
          <w:p w14:paraId="190839EB">
            <w:pPr>
              <w:jc w:val="center"/>
              <w:rPr>
                <w:rFonts w:ascii="Times New Roman" w:hAnsi="Times New Roman" w:cs="Times New Roman"/>
                <w:szCs w:val="21"/>
              </w:rPr>
            </w:pPr>
            <w:r>
              <w:rPr>
                <w:rFonts w:ascii="Times New Roman" w:cs="Times New Roman" w:hAnsiTheme="minorEastAsia"/>
                <w:szCs w:val="21"/>
              </w:rPr>
              <w:t>忻城县动物疫病预防控制中心</w:t>
            </w:r>
          </w:p>
        </w:tc>
        <w:tc>
          <w:tcPr>
            <w:tcW w:w="3075" w:type="dxa"/>
            <w:tcBorders>
              <w:top w:val="single" w:color="auto" w:sz="4" w:space="0"/>
              <w:left w:val="nil"/>
              <w:bottom w:val="single" w:color="auto" w:sz="4" w:space="0"/>
              <w:right w:val="single" w:color="auto" w:sz="4" w:space="0"/>
            </w:tcBorders>
            <w:vAlign w:val="center"/>
          </w:tcPr>
          <w:p w14:paraId="4E61263E">
            <w:pPr>
              <w:jc w:val="center"/>
              <w:rPr>
                <w:rFonts w:ascii="Times New Roman" w:hAnsi="Times New Roman" w:cs="Times New Roman"/>
                <w:szCs w:val="21"/>
              </w:rPr>
            </w:pPr>
            <w:r>
              <w:rPr>
                <w:rFonts w:ascii="Times New Roman" w:cs="Times New Roman" w:hAnsiTheme="minorEastAsia"/>
                <w:szCs w:val="21"/>
              </w:rPr>
              <w:t>修改、编制等</w:t>
            </w:r>
          </w:p>
        </w:tc>
      </w:tr>
      <w:tr w14:paraId="7B435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1E7EAD6C">
            <w:pPr>
              <w:jc w:val="center"/>
              <w:rPr>
                <w:rFonts w:ascii="Times New Roman" w:hAnsi="Times New Roman" w:cs="Times New Roman"/>
                <w:szCs w:val="21"/>
              </w:rPr>
            </w:pPr>
            <w:r>
              <w:rPr>
                <w:rFonts w:ascii="Times New Roman" w:hAnsi="Times New Roman" w:eastAsia="宋体" w:cs="Times New Roman"/>
                <w:szCs w:val="21"/>
              </w:rPr>
              <w:t>梁素联</w:t>
            </w:r>
          </w:p>
        </w:tc>
        <w:tc>
          <w:tcPr>
            <w:tcW w:w="1614" w:type="dxa"/>
            <w:tcBorders>
              <w:top w:val="single" w:color="auto" w:sz="4" w:space="0"/>
              <w:left w:val="nil"/>
              <w:bottom w:val="single" w:color="auto" w:sz="4" w:space="0"/>
              <w:right w:val="single" w:color="auto" w:sz="4" w:space="0"/>
            </w:tcBorders>
            <w:vAlign w:val="center"/>
          </w:tcPr>
          <w:p w14:paraId="1CD75E61">
            <w:pPr>
              <w:jc w:val="center"/>
              <w:rPr>
                <w:rFonts w:ascii="Times New Roman" w:hAnsi="Times New Roman" w:cs="Times New Roman"/>
                <w:szCs w:val="21"/>
              </w:rPr>
            </w:pPr>
            <w:r>
              <w:rPr>
                <w:rFonts w:ascii="Times New Roman" w:cs="Times New Roman" w:hAnsiTheme="minorEastAsia"/>
                <w:szCs w:val="21"/>
              </w:rPr>
              <w:t>高级兽医师</w:t>
            </w:r>
          </w:p>
        </w:tc>
        <w:tc>
          <w:tcPr>
            <w:tcW w:w="2115" w:type="dxa"/>
            <w:tcBorders>
              <w:top w:val="single" w:color="auto" w:sz="4" w:space="0"/>
              <w:left w:val="nil"/>
              <w:bottom w:val="single" w:color="auto" w:sz="4" w:space="0"/>
              <w:right w:val="single" w:color="auto" w:sz="4" w:space="0"/>
            </w:tcBorders>
            <w:vAlign w:val="center"/>
          </w:tcPr>
          <w:p w14:paraId="7352F86A">
            <w:pPr>
              <w:jc w:val="center"/>
              <w:rPr>
                <w:rFonts w:ascii="Times New Roman" w:hAnsi="Times New Roman" w:cs="Times New Roman"/>
                <w:szCs w:val="21"/>
              </w:rPr>
            </w:pPr>
            <w:r>
              <w:rPr>
                <w:rFonts w:ascii="Times New Roman" w:cs="Times New Roman" w:hAnsiTheme="minorEastAsia"/>
                <w:szCs w:val="21"/>
              </w:rPr>
              <w:t>田东县动物疫病预防控制中心</w:t>
            </w:r>
          </w:p>
        </w:tc>
        <w:tc>
          <w:tcPr>
            <w:tcW w:w="3075" w:type="dxa"/>
            <w:tcBorders>
              <w:top w:val="single" w:color="auto" w:sz="4" w:space="0"/>
              <w:left w:val="nil"/>
              <w:bottom w:val="single" w:color="auto" w:sz="4" w:space="0"/>
              <w:right w:val="single" w:color="auto" w:sz="4" w:space="0"/>
            </w:tcBorders>
            <w:vAlign w:val="center"/>
          </w:tcPr>
          <w:p w14:paraId="5B0FDE13">
            <w:pPr>
              <w:jc w:val="center"/>
              <w:rPr>
                <w:rFonts w:ascii="Times New Roman" w:hAnsi="Times New Roman" w:cs="Times New Roman"/>
                <w:szCs w:val="21"/>
              </w:rPr>
            </w:pPr>
            <w:r>
              <w:rPr>
                <w:rFonts w:ascii="Times New Roman" w:cs="Times New Roman" w:hAnsiTheme="minorEastAsia"/>
                <w:szCs w:val="21"/>
              </w:rPr>
              <w:t>修改、编制等</w:t>
            </w:r>
          </w:p>
        </w:tc>
      </w:tr>
      <w:tr w14:paraId="44A4E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7EAA10C2">
            <w:pPr>
              <w:jc w:val="center"/>
              <w:rPr>
                <w:rFonts w:ascii="Times New Roman" w:hAnsi="Times New Roman" w:cs="Times New Roman"/>
                <w:szCs w:val="21"/>
              </w:rPr>
            </w:pPr>
            <w:r>
              <w:rPr>
                <w:rFonts w:ascii="Times New Roman" w:hAnsi="Times New Roman" w:eastAsia="宋体" w:cs="Times New Roman"/>
                <w:szCs w:val="21"/>
              </w:rPr>
              <w:t>胡颖康</w:t>
            </w:r>
          </w:p>
        </w:tc>
        <w:tc>
          <w:tcPr>
            <w:tcW w:w="1614" w:type="dxa"/>
            <w:tcBorders>
              <w:top w:val="single" w:color="auto" w:sz="4" w:space="0"/>
              <w:left w:val="nil"/>
              <w:bottom w:val="single" w:color="auto" w:sz="4" w:space="0"/>
              <w:right w:val="single" w:color="auto" w:sz="4" w:space="0"/>
            </w:tcBorders>
            <w:vAlign w:val="center"/>
          </w:tcPr>
          <w:p w14:paraId="6993908D">
            <w:pPr>
              <w:jc w:val="center"/>
              <w:rPr>
                <w:rFonts w:ascii="Times New Roman" w:hAnsi="Times New Roman" w:cs="Times New Roman"/>
                <w:szCs w:val="21"/>
              </w:rPr>
            </w:pPr>
            <w:r>
              <w:rPr>
                <w:rFonts w:ascii="Times New Roman" w:cs="Times New Roman" w:hAnsiTheme="minorEastAsia"/>
                <w:szCs w:val="21"/>
              </w:rPr>
              <w:t>兽医师</w:t>
            </w:r>
          </w:p>
        </w:tc>
        <w:tc>
          <w:tcPr>
            <w:tcW w:w="2115" w:type="dxa"/>
            <w:tcBorders>
              <w:top w:val="single" w:color="auto" w:sz="4" w:space="0"/>
              <w:left w:val="nil"/>
              <w:bottom w:val="single" w:color="auto" w:sz="4" w:space="0"/>
              <w:right w:val="single" w:color="auto" w:sz="4" w:space="0"/>
            </w:tcBorders>
            <w:vAlign w:val="center"/>
          </w:tcPr>
          <w:p w14:paraId="65DA470A">
            <w:pPr>
              <w:jc w:val="center"/>
              <w:rPr>
                <w:rFonts w:ascii="Times New Roman" w:hAnsi="Times New Roman" w:cs="Times New Roman"/>
                <w:szCs w:val="21"/>
              </w:rPr>
            </w:pPr>
            <w:r>
              <w:rPr>
                <w:rFonts w:ascii="Times New Roman" w:cs="Times New Roman" w:hAnsiTheme="minorEastAsia"/>
                <w:szCs w:val="21"/>
              </w:rPr>
              <w:t>象州县动物疫病预防控制中心</w:t>
            </w:r>
          </w:p>
        </w:tc>
        <w:tc>
          <w:tcPr>
            <w:tcW w:w="3075" w:type="dxa"/>
            <w:tcBorders>
              <w:top w:val="single" w:color="auto" w:sz="4" w:space="0"/>
              <w:left w:val="nil"/>
              <w:bottom w:val="single" w:color="auto" w:sz="4" w:space="0"/>
              <w:right w:val="single" w:color="auto" w:sz="4" w:space="0"/>
            </w:tcBorders>
            <w:vAlign w:val="center"/>
          </w:tcPr>
          <w:p w14:paraId="59FE59DE">
            <w:pPr>
              <w:jc w:val="center"/>
              <w:rPr>
                <w:rFonts w:ascii="Times New Roman" w:hAnsi="Times New Roman" w:cs="Times New Roman"/>
                <w:szCs w:val="21"/>
              </w:rPr>
            </w:pPr>
            <w:r>
              <w:rPr>
                <w:rFonts w:ascii="Times New Roman" w:cs="Times New Roman" w:hAnsiTheme="minorEastAsia"/>
                <w:szCs w:val="21"/>
              </w:rPr>
              <w:t>修改、编制等</w:t>
            </w:r>
          </w:p>
        </w:tc>
      </w:tr>
      <w:tr w14:paraId="258FA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79FDB48E">
            <w:pPr>
              <w:jc w:val="center"/>
              <w:rPr>
                <w:rFonts w:ascii="Times New Roman" w:hAnsi="Times New Roman" w:cs="Times New Roman"/>
                <w:szCs w:val="21"/>
              </w:rPr>
            </w:pPr>
            <w:r>
              <w:rPr>
                <w:rFonts w:ascii="Times New Roman" w:hAnsi="Times New Roman" w:eastAsia="宋体" w:cs="Times New Roman"/>
                <w:szCs w:val="21"/>
              </w:rPr>
              <w:t>梁晟</w:t>
            </w:r>
          </w:p>
        </w:tc>
        <w:tc>
          <w:tcPr>
            <w:tcW w:w="1614" w:type="dxa"/>
            <w:tcBorders>
              <w:top w:val="single" w:color="auto" w:sz="4" w:space="0"/>
              <w:left w:val="nil"/>
              <w:bottom w:val="single" w:color="auto" w:sz="4" w:space="0"/>
              <w:right w:val="single" w:color="auto" w:sz="4" w:space="0"/>
            </w:tcBorders>
            <w:vAlign w:val="center"/>
          </w:tcPr>
          <w:p w14:paraId="09343F32">
            <w:pPr>
              <w:jc w:val="center"/>
              <w:rPr>
                <w:rFonts w:ascii="Times New Roman" w:hAnsi="Times New Roman" w:cs="Times New Roman"/>
                <w:szCs w:val="21"/>
              </w:rPr>
            </w:pPr>
            <w:r>
              <w:rPr>
                <w:rFonts w:ascii="Times New Roman" w:cs="Times New Roman" w:hAnsiTheme="minorEastAsia"/>
                <w:szCs w:val="21"/>
              </w:rPr>
              <w:t>高级兽医师</w:t>
            </w:r>
          </w:p>
        </w:tc>
        <w:tc>
          <w:tcPr>
            <w:tcW w:w="2115" w:type="dxa"/>
            <w:tcBorders>
              <w:top w:val="single" w:color="auto" w:sz="4" w:space="0"/>
              <w:left w:val="nil"/>
              <w:bottom w:val="single" w:color="auto" w:sz="4" w:space="0"/>
              <w:right w:val="single" w:color="auto" w:sz="4" w:space="0"/>
            </w:tcBorders>
            <w:vAlign w:val="center"/>
          </w:tcPr>
          <w:p w14:paraId="2942031C">
            <w:pPr>
              <w:jc w:val="center"/>
              <w:rPr>
                <w:rFonts w:ascii="Times New Roman" w:hAnsi="Times New Roman" w:cs="Times New Roman"/>
                <w:szCs w:val="21"/>
              </w:rPr>
            </w:pPr>
            <w:r>
              <w:rPr>
                <w:rFonts w:ascii="Times New Roman" w:cs="Times New Roman" w:hAnsiTheme="minorEastAsia"/>
                <w:szCs w:val="21"/>
              </w:rPr>
              <w:t>广西壮族自治区动物疫病预防控制中心</w:t>
            </w:r>
          </w:p>
        </w:tc>
        <w:tc>
          <w:tcPr>
            <w:tcW w:w="3075" w:type="dxa"/>
            <w:tcBorders>
              <w:top w:val="single" w:color="auto" w:sz="4" w:space="0"/>
              <w:left w:val="nil"/>
              <w:bottom w:val="single" w:color="auto" w:sz="4" w:space="0"/>
              <w:right w:val="single" w:color="auto" w:sz="4" w:space="0"/>
            </w:tcBorders>
            <w:vAlign w:val="center"/>
          </w:tcPr>
          <w:p w14:paraId="08809637">
            <w:pPr>
              <w:jc w:val="center"/>
              <w:rPr>
                <w:rFonts w:ascii="Times New Roman" w:hAnsi="Times New Roman" w:cs="Times New Roman"/>
              </w:rPr>
            </w:pPr>
            <w:r>
              <w:rPr>
                <w:rFonts w:ascii="Times New Roman" w:cs="Times New Roman" w:hAnsiTheme="minorEastAsia"/>
                <w:szCs w:val="21"/>
              </w:rPr>
              <w:t>修改、编制等</w:t>
            </w:r>
          </w:p>
        </w:tc>
      </w:tr>
      <w:tr w14:paraId="352DB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6529C7DA">
            <w:pPr>
              <w:jc w:val="center"/>
              <w:rPr>
                <w:rFonts w:ascii="Times New Roman" w:hAnsi="Times New Roman" w:cs="Times New Roman"/>
                <w:szCs w:val="21"/>
              </w:rPr>
            </w:pPr>
            <w:r>
              <w:rPr>
                <w:rFonts w:ascii="Times New Roman" w:hAnsi="Times New Roman" w:eastAsia="宋体" w:cs="Times New Roman"/>
                <w:szCs w:val="21"/>
              </w:rPr>
              <w:t>杨荣</w:t>
            </w:r>
          </w:p>
        </w:tc>
        <w:tc>
          <w:tcPr>
            <w:tcW w:w="1614" w:type="dxa"/>
            <w:tcBorders>
              <w:top w:val="single" w:color="auto" w:sz="4" w:space="0"/>
              <w:left w:val="nil"/>
              <w:bottom w:val="single" w:color="auto" w:sz="4" w:space="0"/>
              <w:right w:val="single" w:color="auto" w:sz="4" w:space="0"/>
            </w:tcBorders>
            <w:vAlign w:val="center"/>
          </w:tcPr>
          <w:p w14:paraId="65A2D4E5">
            <w:pPr>
              <w:jc w:val="center"/>
              <w:rPr>
                <w:rFonts w:ascii="Times New Roman" w:hAnsi="Times New Roman" w:cs="Times New Roman"/>
                <w:szCs w:val="21"/>
              </w:rPr>
            </w:pPr>
            <w:r>
              <w:rPr>
                <w:rFonts w:ascii="Times New Roman" w:cs="Times New Roman" w:hAnsiTheme="minorEastAsia"/>
                <w:szCs w:val="21"/>
              </w:rPr>
              <w:t>高级兽医师</w:t>
            </w:r>
          </w:p>
        </w:tc>
        <w:tc>
          <w:tcPr>
            <w:tcW w:w="2115" w:type="dxa"/>
            <w:tcBorders>
              <w:top w:val="single" w:color="auto" w:sz="4" w:space="0"/>
              <w:left w:val="nil"/>
              <w:bottom w:val="single" w:color="auto" w:sz="4" w:space="0"/>
              <w:right w:val="single" w:color="auto" w:sz="4" w:space="0"/>
            </w:tcBorders>
            <w:vAlign w:val="center"/>
          </w:tcPr>
          <w:p w14:paraId="35B3D82B">
            <w:pPr>
              <w:jc w:val="center"/>
              <w:rPr>
                <w:rFonts w:ascii="Times New Roman" w:hAnsi="Times New Roman" w:cs="Times New Roman"/>
                <w:szCs w:val="21"/>
              </w:rPr>
            </w:pPr>
            <w:r>
              <w:rPr>
                <w:rFonts w:ascii="Times New Roman" w:cs="Times New Roman" w:hAnsiTheme="minorEastAsia"/>
                <w:szCs w:val="21"/>
              </w:rPr>
              <w:t>广西壮族自治区动物疫病预防控制中心</w:t>
            </w:r>
          </w:p>
        </w:tc>
        <w:tc>
          <w:tcPr>
            <w:tcW w:w="3075" w:type="dxa"/>
            <w:tcBorders>
              <w:top w:val="single" w:color="auto" w:sz="4" w:space="0"/>
              <w:left w:val="nil"/>
              <w:bottom w:val="single" w:color="auto" w:sz="4" w:space="0"/>
              <w:right w:val="single" w:color="auto" w:sz="4" w:space="0"/>
            </w:tcBorders>
            <w:vAlign w:val="center"/>
          </w:tcPr>
          <w:p w14:paraId="032A7667">
            <w:pPr>
              <w:jc w:val="center"/>
              <w:rPr>
                <w:rFonts w:ascii="Times New Roman" w:hAnsi="Times New Roman" w:cs="Times New Roman"/>
              </w:rPr>
            </w:pPr>
            <w:r>
              <w:rPr>
                <w:rFonts w:ascii="Times New Roman" w:cs="Times New Roman" w:hAnsiTheme="minorEastAsia"/>
                <w:szCs w:val="21"/>
              </w:rPr>
              <w:t>修改、编制等</w:t>
            </w:r>
          </w:p>
        </w:tc>
      </w:tr>
      <w:tr w14:paraId="4C7CC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0ADA9BCA">
            <w:pPr>
              <w:jc w:val="center"/>
              <w:rPr>
                <w:rFonts w:ascii="Times New Roman" w:hAnsi="Times New Roman" w:cs="Times New Roman"/>
                <w:szCs w:val="21"/>
              </w:rPr>
            </w:pPr>
            <w:r>
              <w:rPr>
                <w:rFonts w:ascii="Times New Roman" w:hAnsi="Times New Roman" w:eastAsia="宋体" w:cs="Times New Roman"/>
                <w:szCs w:val="21"/>
              </w:rPr>
              <w:t>许瑞胜</w:t>
            </w:r>
          </w:p>
        </w:tc>
        <w:tc>
          <w:tcPr>
            <w:tcW w:w="1614" w:type="dxa"/>
            <w:tcBorders>
              <w:top w:val="single" w:color="auto" w:sz="4" w:space="0"/>
              <w:left w:val="nil"/>
              <w:bottom w:val="single" w:color="auto" w:sz="4" w:space="0"/>
              <w:right w:val="single" w:color="auto" w:sz="4" w:space="0"/>
            </w:tcBorders>
            <w:vAlign w:val="center"/>
          </w:tcPr>
          <w:p w14:paraId="669781B6">
            <w:pPr>
              <w:jc w:val="center"/>
              <w:rPr>
                <w:rFonts w:ascii="Times New Roman" w:hAnsi="Times New Roman" w:cs="Times New Roman"/>
                <w:szCs w:val="21"/>
              </w:rPr>
            </w:pPr>
            <w:r>
              <w:rPr>
                <w:rFonts w:ascii="Times New Roman" w:cs="Times New Roman" w:hAnsiTheme="minorEastAsia"/>
                <w:szCs w:val="21"/>
              </w:rPr>
              <w:t>高级兽医师</w:t>
            </w:r>
          </w:p>
        </w:tc>
        <w:tc>
          <w:tcPr>
            <w:tcW w:w="2115" w:type="dxa"/>
            <w:tcBorders>
              <w:top w:val="single" w:color="auto" w:sz="4" w:space="0"/>
              <w:left w:val="nil"/>
              <w:bottom w:val="single" w:color="auto" w:sz="4" w:space="0"/>
              <w:right w:val="single" w:color="auto" w:sz="4" w:space="0"/>
            </w:tcBorders>
            <w:vAlign w:val="center"/>
          </w:tcPr>
          <w:p w14:paraId="79725917">
            <w:pPr>
              <w:jc w:val="center"/>
              <w:rPr>
                <w:rFonts w:ascii="Times New Roman" w:hAnsi="Times New Roman" w:cs="Times New Roman"/>
                <w:szCs w:val="21"/>
              </w:rPr>
            </w:pPr>
            <w:r>
              <w:rPr>
                <w:rFonts w:ascii="Times New Roman" w:cs="Times New Roman" w:hAnsiTheme="minorEastAsia"/>
                <w:szCs w:val="21"/>
              </w:rPr>
              <w:t>广西壮族自治区动物疫病预防控制中心</w:t>
            </w:r>
          </w:p>
        </w:tc>
        <w:tc>
          <w:tcPr>
            <w:tcW w:w="3075" w:type="dxa"/>
            <w:tcBorders>
              <w:top w:val="single" w:color="auto" w:sz="4" w:space="0"/>
              <w:left w:val="nil"/>
              <w:bottom w:val="single" w:color="auto" w:sz="4" w:space="0"/>
              <w:right w:val="single" w:color="auto" w:sz="4" w:space="0"/>
            </w:tcBorders>
            <w:vAlign w:val="center"/>
          </w:tcPr>
          <w:p w14:paraId="6584502E">
            <w:pPr>
              <w:jc w:val="center"/>
              <w:rPr>
                <w:rFonts w:ascii="Times New Roman" w:hAnsi="Times New Roman" w:cs="Times New Roman"/>
              </w:rPr>
            </w:pPr>
            <w:r>
              <w:rPr>
                <w:rFonts w:ascii="Times New Roman" w:cs="Times New Roman" w:hAnsiTheme="minorEastAsia"/>
                <w:szCs w:val="21"/>
              </w:rPr>
              <w:t>修改、编制等</w:t>
            </w:r>
          </w:p>
        </w:tc>
      </w:tr>
      <w:tr w14:paraId="305D2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1164794F">
            <w:pPr>
              <w:jc w:val="center"/>
              <w:rPr>
                <w:rFonts w:ascii="Times New Roman" w:hAnsi="Times New Roman" w:cs="Times New Roman"/>
                <w:szCs w:val="21"/>
              </w:rPr>
            </w:pPr>
            <w:r>
              <w:rPr>
                <w:rFonts w:ascii="Times New Roman" w:hAnsi="Times New Roman" w:eastAsia="宋体" w:cs="Times New Roman"/>
                <w:szCs w:val="21"/>
              </w:rPr>
              <w:t>杨蓉</w:t>
            </w:r>
          </w:p>
        </w:tc>
        <w:tc>
          <w:tcPr>
            <w:tcW w:w="1614" w:type="dxa"/>
            <w:tcBorders>
              <w:top w:val="single" w:color="auto" w:sz="4" w:space="0"/>
              <w:left w:val="nil"/>
              <w:bottom w:val="single" w:color="auto" w:sz="4" w:space="0"/>
              <w:right w:val="single" w:color="auto" w:sz="4" w:space="0"/>
            </w:tcBorders>
            <w:vAlign w:val="center"/>
          </w:tcPr>
          <w:p w14:paraId="7E9B8785">
            <w:pPr>
              <w:jc w:val="center"/>
              <w:rPr>
                <w:rFonts w:ascii="Times New Roman" w:hAnsi="Times New Roman" w:cs="Times New Roman"/>
                <w:szCs w:val="21"/>
              </w:rPr>
            </w:pPr>
            <w:r>
              <w:rPr>
                <w:rFonts w:ascii="Times New Roman" w:cs="Times New Roman" w:hAnsiTheme="minorEastAsia"/>
                <w:szCs w:val="21"/>
              </w:rPr>
              <w:t>兽医师</w:t>
            </w:r>
          </w:p>
        </w:tc>
        <w:tc>
          <w:tcPr>
            <w:tcW w:w="2115" w:type="dxa"/>
            <w:tcBorders>
              <w:top w:val="single" w:color="auto" w:sz="4" w:space="0"/>
              <w:left w:val="nil"/>
              <w:bottom w:val="single" w:color="auto" w:sz="4" w:space="0"/>
              <w:right w:val="single" w:color="auto" w:sz="4" w:space="0"/>
            </w:tcBorders>
            <w:vAlign w:val="center"/>
          </w:tcPr>
          <w:p w14:paraId="7A3EE492">
            <w:pPr>
              <w:jc w:val="center"/>
              <w:rPr>
                <w:rFonts w:ascii="Times New Roman" w:hAnsi="Times New Roman" w:cs="Times New Roman"/>
                <w:szCs w:val="21"/>
              </w:rPr>
            </w:pPr>
            <w:r>
              <w:rPr>
                <w:rFonts w:ascii="Times New Roman" w:cs="Times New Roman" w:hAnsiTheme="minorEastAsia"/>
                <w:szCs w:val="21"/>
              </w:rPr>
              <w:t>广西壮族自治区动物疫病预防控制中心</w:t>
            </w:r>
          </w:p>
        </w:tc>
        <w:tc>
          <w:tcPr>
            <w:tcW w:w="3075" w:type="dxa"/>
            <w:tcBorders>
              <w:top w:val="single" w:color="auto" w:sz="4" w:space="0"/>
              <w:left w:val="nil"/>
              <w:bottom w:val="single" w:color="auto" w:sz="4" w:space="0"/>
              <w:right w:val="single" w:color="auto" w:sz="4" w:space="0"/>
            </w:tcBorders>
            <w:vAlign w:val="center"/>
          </w:tcPr>
          <w:p w14:paraId="5BB7B9F2">
            <w:pPr>
              <w:jc w:val="center"/>
              <w:rPr>
                <w:rFonts w:ascii="Times New Roman" w:hAnsi="Times New Roman" w:cs="Times New Roman"/>
              </w:rPr>
            </w:pPr>
            <w:r>
              <w:rPr>
                <w:rFonts w:ascii="Times New Roman" w:cs="Times New Roman" w:hAnsiTheme="minorEastAsia"/>
                <w:szCs w:val="21"/>
              </w:rPr>
              <w:t>修改、编制等</w:t>
            </w:r>
          </w:p>
        </w:tc>
      </w:tr>
      <w:tr w14:paraId="760D7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482A1D2E">
            <w:pPr>
              <w:jc w:val="center"/>
              <w:rPr>
                <w:rFonts w:ascii="Times New Roman" w:hAnsi="Times New Roman" w:cs="Times New Roman"/>
                <w:szCs w:val="21"/>
              </w:rPr>
            </w:pPr>
            <w:r>
              <w:rPr>
                <w:rFonts w:ascii="Times New Roman" w:hAnsi="Times New Roman" w:eastAsia="宋体" w:cs="Times New Roman"/>
                <w:szCs w:val="21"/>
              </w:rPr>
              <w:t>苏姣秀</w:t>
            </w:r>
          </w:p>
        </w:tc>
        <w:tc>
          <w:tcPr>
            <w:tcW w:w="1614" w:type="dxa"/>
            <w:tcBorders>
              <w:top w:val="single" w:color="auto" w:sz="4" w:space="0"/>
              <w:left w:val="nil"/>
              <w:bottom w:val="single" w:color="auto" w:sz="4" w:space="0"/>
              <w:right w:val="single" w:color="auto" w:sz="4" w:space="0"/>
            </w:tcBorders>
            <w:vAlign w:val="center"/>
          </w:tcPr>
          <w:p w14:paraId="3C1132A0">
            <w:pPr>
              <w:jc w:val="center"/>
              <w:rPr>
                <w:rFonts w:ascii="Times New Roman" w:hAnsi="Times New Roman" w:cs="Times New Roman"/>
                <w:szCs w:val="21"/>
              </w:rPr>
            </w:pPr>
            <w:r>
              <w:rPr>
                <w:rFonts w:ascii="Times New Roman" w:cs="Times New Roman" w:hAnsiTheme="minorEastAsia"/>
                <w:szCs w:val="21"/>
              </w:rPr>
              <w:t>高级兽医师</w:t>
            </w:r>
          </w:p>
        </w:tc>
        <w:tc>
          <w:tcPr>
            <w:tcW w:w="2115" w:type="dxa"/>
            <w:tcBorders>
              <w:top w:val="single" w:color="auto" w:sz="4" w:space="0"/>
              <w:left w:val="nil"/>
              <w:bottom w:val="single" w:color="auto" w:sz="4" w:space="0"/>
              <w:right w:val="single" w:color="auto" w:sz="4" w:space="0"/>
            </w:tcBorders>
            <w:vAlign w:val="center"/>
          </w:tcPr>
          <w:p w14:paraId="1C9A21EC">
            <w:pPr>
              <w:jc w:val="center"/>
              <w:rPr>
                <w:rFonts w:ascii="Times New Roman" w:hAnsi="Times New Roman" w:cs="Times New Roman"/>
                <w:szCs w:val="21"/>
              </w:rPr>
            </w:pPr>
            <w:r>
              <w:rPr>
                <w:rFonts w:ascii="Times New Roman" w:cs="Times New Roman" w:hAnsiTheme="minorEastAsia"/>
                <w:szCs w:val="21"/>
              </w:rPr>
              <w:t>广西壮族自治区动物疫病预防控制中心</w:t>
            </w:r>
          </w:p>
        </w:tc>
        <w:tc>
          <w:tcPr>
            <w:tcW w:w="3075" w:type="dxa"/>
            <w:tcBorders>
              <w:top w:val="single" w:color="auto" w:sz="4" w:space="0"/>
              <w:left w:val="nil"/>
              <w:bottom w:val="single" w:color="auto" w:sz="4" w:space="0"/>
              <w:right w:val="single" w:color="auto" w:sz="4" w:space="0"/>
            </w:tcBorders>
            <w:vAlign w:val="center"/>
          </w:tcPr>
          <w:p w14:paraId="523EBD25">
            <w:pPr>
              <w:jc w:val="center"/>
              <w:rPr>
                <w:rFonts w:ascii="Times New Roman" w:hAnsi="Times New Roman" w:cs="Times New Roman"/>
              </w:rPr>
            </w:pPr>
            <w:r>
              <w:rPr>
                <w:rFonts w:ascii="Times New Roman" w:cs="Times New Roman" w:hAnsiTheme="minorEastAsia"/>
                <w:szCs w:val="21"/>
              </w:rPr>
              <w:t>修改、编制等</w:t>
            </w:r>
          </w:p>
        </w:tc>
      </w:tr>
      <w:tr w14:paraId="20830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653CCE13">
            <w:pPr>
              <w:jc w:val="center"/>
              <w:rPr>
                <w:rFonts w:ascii="Times New Roman" w:hAnsi="Times New Roman" w:eastAsia="宋体" w:cs="Times New Roman"/>
                <w:szCs w:val="21"/>
              </w:rPr>
            </w:pPr>
            <w:r>
              <w:rPr>
                <w:rFonts w:ascii="Times New Roman" w:hAnsi="Times New Roman" w:eastAsia="宋体" w:cs="Times New Roman"/>
                <w:szCs w:val="21"/>
              </w:rPr>
              <w:t>甘海霞</w:t>
            </w:r>
          </w:p>
        </w:tc>
        <w:tc>
          <w:tcPr>
            <w:tcW w:w="1614" w:type="dxa"/>
            <w:tcBorders>
              <w:top w:val="single" w:color="auto" w:sz="4" w:space="0"/>
              <w:left w:val="nil"/>
              <w:bottom w:val="single" w:color="auto" w:sz="4" w:space="0"/>
              <w:right w:val="single" w:color="auto" w:sz="4" w:space="0"/>
            </w:tcBorders>
            <w:vAlign w:val="center"/>
          </w:tcPr>
          <w:p w14:paraId="79822C05">
            <w:pPr>
              <w:jc w:val="center"/>
              <w:rPr>
                <w:rFonts w:ascii="Times New Roman" w:hAnsi="Times New Roman" w:cs="Times New Roman"/>
                <w:szCs w:val="21"/>
              </w:rPr>
            </w:pPr>
            <w:r>
              <w:rPr>
                <w:rFonts w:ascii="Times New Roman" w:cs="Times New Roman" w:hAnsiTheme="minorEastAsia"/>
                <w:szCs w:val="21"/>
              </w:rPr>
              <w:t>正高级兽医师</w:t>
            </w:r>
          </w:p>
        </w:tc>
        <w:tc>
          <w:tcPr>
            <w:tcW w:w="2115" w:type="dxa"/>
            <w:tcBorders>
              <w:top w:val="single" w:color="auto" w:sz="4" w:space="0"/>
              <w:left w:val="nil"/>
              <w:bottom w:val="single" w:color="auto" w:sz="4" w:space="0"/>
              <w:right w:val="single" w:color="auto" w:sz="4" w:space="0"/>
            </w:tcBorders>
            <w:vAlign w:val="center"/>
          </w:tcPr>
          <w:p w14:paraId="3D53B1BD">
            <w:pPr>
              <w:jc w:val="center"/>
              <w:rPr>
                <w:rFonts w:ascii="Times New Roman" w:hAnsi="Times New Roman" w:cs="Times New Roman"/>
                <w:szCs w:val="21"/>
              </w:rPr>
            </w:pPr>
            <w:r>
              <w:rPr>
                <w:rFonts w:ascii="Times New Roman" w:cs="Times New Roman" w:hAnsiTheme="minorEastAsia"/>
                <w:szCs w:val="21"/>
              </w:rPr>
              <w:t>广西壮族自治区动物疫病预防控制中心</w:t>
            </w:r>
          </w:p>
        </w:tc>
        <w:tc>
          <w:tcPr>
            <w:tcW w:w="3075" w:type="dxa"/>
            <w:tcBorders>
              <w:top w:val="single" w:color="auto" w:sz="4" w:space="0"/>
              <w:left w:val="nil"/>
              <w:bottom w:val="single" w:color="auto" w:sz="4" w:space="0"/>
              <w:right w:val="single" w:color="auto" w:sz="4" w:space="0"/>
            </w:tcBorders>
            <w:vAlign w:val="center"/>
          </w:tcPr>
          <w:p w14:paraId="0A7DDC20">
            <w:pPr>
              <w:jc w:val="center"/>
              <w:rPr>
                <w:rFonts w:ascii="Times New Roman" w:hAnsi="Times New Roman" w:cs="Times New Roman"/>
              </w:rPr>
            </w:pPr>
            <w:r>
              <w:rPr>
                <w:rFonts w:ascii="Times New Roman" w:cs="Times New Roman" w:hAnsiTheme="minorEastAsia"/>
                <w:szCs w:val="21"/>
              </w:rPr>
              <w:t>修改、编制等</w:t>
            </w:r>
          </w:p>
        </w:tc>
      </w:tr>
      <w:tr w14:paraId="3D5AD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621B3BA4">
            <w:pPr>
              <w:jc w:val="center"/>
              <w:rPr>
                <w:rFonts w:ascii="Times New Roman" w:hAnsi="Times New Roman" w:eastAsia="宋体" w:cs="Times New Roman"/>
                <w:szCs w:val="21"/>
              </w:rPr>
            </w:pPr>
            <w:r>
              <w:rPr>
                <w:rFonts w:ascii="Times New Roman" w:hAnsi="Times New Roman" w:eastAsia="宋体" w:cs="Times New Roman"/>
                <w:szCs w:val="21"/>
              </w:rPr>
              <w:t>张步娴</w:t>
            </w:r>
          </w:p>
        </w:tc>
        <w:tc>
          <w:tcPr>
            <w:tcW w:w="1614" w:type="dxa"/>
            <w:tcBorders>
              <w:top w:val="single" w:color="auto" w:sz="4" w:space="0"/>
              <w:left w:val="nil"/>
              <w:bottom w:val="single" w:color="auto" w:sz="4" w:space="0"/>
              <w:right w:val="single" w:color="auto" w:sz="4" w:space="0"/>
            </w:tcBorders>
            <w:vAlign w:val="center"/>
          </w:tcPr>
          <w:p w14:paraId="021A8CA3">
            <w:pPr>
              <w:jc w:val="center"/>
              <w:rPr>
                <w:rFonts w:ascii="Times New Roman" w:hAnsi="Times New Roman" w:cs="Times New Roman"/>
                <w:szCs w:val="21"/>
              </w:rPr>
            </w:pPr>
            <w:r>
              <w:rPr>
                <w:rFonts w:ascii="Times New Roman" w:cs="Times New Roman" w:hAnsiTheme="minorEastAsia"/>
                <w:szCs w:val="21"/>
              </w:rPr>
              <w:t>高级兽医师</w:t>
            </w:r>
          </w:p>
        </w:tc>
        <w:tc>
          <w:tcPr>
            <w:tcW w:w="2115" w:type="dxa"/>
            <w:tcBorders>
              <w:top w:val="single" w:color="auto" w:sz="4" w:space="0"/>
              <w:left w:val="nil"/>
              <w:bottom w:val="single" w:color="auto" w:sz="4" w:space="0"/>
              <w:right w:val="single" w:color="auto" w:sz="4" w:space="0"/>
            </w:tcBorders>
          </w:tcPr>
          <w:p w14:paraId="6758ADE9">
            <w:pPr>
              <w:rPr>
                <w:rFonts w:ascii="Times New Roman" w:hAnsi="Times New Roman" w:cs="Times New Roman"/>
              </w:rPr>
            </w:pPr>
            <w:r>
              <w:rPr>
                <w:rFonts w:ascii="Times New Roman" w:cs="Times New Roman" w:hAnsiTheme="minorEastAsia"/>
                <w:szCs w:val="21"/>
              </w:rPr>
              <w:t>广西壮族自治区动物疫病预防控制中心</w:t>
            </w:r>
          </w:p>
        </w:tc>
        <w:tc>
          <w:tcPr>
            <w:tcW w:w="3075" w:type="dxa"/>
            <w:tcBorders>
              <w:top w:val="single" w:color="auto" w:sz="4" w:space="0"/>
              <w:left w:val="nil"/>
              <w:bottom w:val="single" w:color="auto" w:sz="4" w:space="0"/>
              <w:right w:val="single" w:color="auto" w:sz="4" w:space="0"/>
            </w:tcBorders>
            <w:vAlign w:val="center"/>
          </w:tcPr>
          <w:p w14:paraId="55A7806E">
            <w:pPr>
              <w:jc w:val="center"/>
              <w:rPr>
                <w:rFonts w:ascii="Times New Roman" w:hAnsi="Times New Roman" w:cs="Times New Roman"/>
              </w:rPr>
            </w:pPr>
            <w:r>
              <w:rPr>
                <w:rFonts w:ascii="Times New Roman" w:cs="Times New Roman" w:hAnsiTheme="minorEastAsia"/>
                <w:szCs w:val="21"/>
              </w:rPr>
              <w:t>修改、编制等</w:t>
            </w:r>
          </w:p>
        </w:tc>
      </w:tr>
      <w:tr w14:paraId="20F85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6EAE81AD">
            <w:pPr>
              <w:jc w:val="center"/>
              <w:rPr>
                <w:rFonts w:ascii="Times New Roman" w:hAnsi="Times New Roman" w:cs="Times New Roman"/>
                <w:szCs w:val="21"/>
              </w:rPr>
            </w:pPr>
            <w:r>
              <w:rPr>
                <w:rFonts w:ascii="Times New Roman" w:hAnsi="Times New Roman" w:eastAsia="宋体" w:cs="Times New Roman"/>
                <w:szCs w:val="21"/>
              </w:rPr>
              <w:t>苏凯</w:t>
            </w:r>
          </w:p>
        </w:tc>
        <w:tc>
          <w:tcPr>
            <w:tcW w:w="1614" w:type="dxa"/>
            <w:tcBorders>
              <w:top w:val="single" w:color="auto" w:sz="4" w:space="0"/>
              <w:left w:val="nil"/>
              <w:bottom w:val="single" w:color="auto" w:sz="4" w:space="0"/>
              <w:right w:val="single" w:color="auto" w:sz="4" w:space="0"/>
            </w:tcBorders>
            <w:vAlign w:val="center"/>
          </w:tcPr>
          <w:p w14:paraId="23E56B6A">
            <w:pPr>
              <w:jc w:val="center"/>
              <w:rPr>
                <w:rFonts w:ascii="Times New Roman" w:hAnsi="Times New Roman" w:cs="Times New Roman"/>
                <w:szCs w:val="21"/>
              </w:rPr>
            </w:pPr>
            <w:r>
              <w:rPr>
                <w:rFonts w:ascii="Times New Roman" w:cs="Times New Roman" w:hAnsiTheme="minorEastAsia"/>
                <w:szCs w:val="21"/>
              </w:rPr>
              <w:t>助理兽医师</w:t>
            </w:r>
          </w:p>
        </w:tc>
        <w:tc>
          <w:tcPr>
            <w:tcW w:w="2115" w:type="dxa"/>
            <w:tcBorders>
              <w:top w:val="single" w:color="auto" w:sz="4" w:space="0"/>
              <w:left w:val="nil"/>
              <w:bottom w:val="single" w:color="auto" w:sz="4" w:space="0"/>
              <w:right w:val="single" w:color="auto" w:sz="4" w:space="0"/>
            </w:tcBorders>
          </w:tcPr>
          <w:p w14:paraId="4745FBEA">
            <w:pPr>
              <w:rPr>
                <w:rFonts w:ascii="Times New Roman" w:hAnsi="Times New Roman" w:cs="Times New Roman"/>
              </w:rPr>
            </w:pPr>
            <w:r>
              <w:rPr>
                <w:rFonts w:ascii="Times New Roman" w:cs="Times New Roman" w:hAnsiTheme="minorEastAsia"/>
                <w:szCs w:val="21"/>
              </w:rPr>
              <w:t>广西壮族自治区动物疫病预防控制中心</w:t>
            </w:r>
          </w:p>
        </w:tc>
        <w:tc>
          <w:tcPr>
            <w:tcW w:w="3075" w:type="dxa"/>
            <w:tcBorders>
              <w:top w:val="single" w:color="auto" w:sz="4" w:space="0"/>
              <w:left w:val="nil"/>
              <w:bottom w:val="single" w:color="auto" w:sz="4" w:space="0"/>
              <w:right w:val="single" w:color="auto" w:sz="4" w:space="0"/>
            </w:tcBorders>
            <w:vAlign w:val="center"/>
          </w:tcPr>
          <w:p w14:paraId="77D98F8A">
            <w:pPr>
              <w:jc w:val="center"/>
              <w:rPr>
                <w:rFonts w:ascii="Times New Roman" w:hAnsi="Times New Roman" w:cs="Times New Roman"/>
              </w:rPr>
            </w:pPr>
            <w:r>
              <w:rPr>
                <w:rFonts w:ascii="Times New Roman" w:cs="Times New Roman" w:hAnsiTheme="minorEastAsia"/>
                <w:szCs w:val="21"/>
              </w:rPr>
              <w:t>修改、编制等</w:t>
            </w:r>
          </w:p>
        </w:tc>
      </w:tr>
      <w:tr w14:paraId="0811A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6037ACC4">
            <w:pPr>
              <w:jc w:val="center"/>
              <w:rPr>
                <w:rFonts w:ascii="Times New Roman" w:hAnsi="Times New Roman" w:cs="Times New Roman"/>
                <w:szCs w:val="21"/>
              </w:rPr>
            </w:pPr>
            <w:r>
              <w:rPr>
                <w:rFonts w:ascii="Times New Roman" w:hAnsi="Times New Roman" w:eastAsia="宋体" w:cs="Times New Roman"/>
                <w:szCs w:val="21"/>
              </w:rPr>
              <w:t>吕思明</w:t>
            </w:r>
          </w:p>
        </w:tc>
        <w:tc>
          <w:tcPr>
            <w:tcW w:w="1614" w:type="dxa"/>
            <w:tcBorders>
              <w:top w:val="single" w:color="auto" w:sz="4" w:space="0"/>
              <w:left w:val="nil"/>
              <w:bottom w:val="single" w:color="auto" w:sz="4" w:space="0"/>
              <w:right w:val="single" w:color="auto" w:sz="4" w:space="0"/>
            </w:tcBorders>
            <w:vAlign w:val="center"/>
          </w:tcPr>
          <w:p w14:paraId="590D218C">
            <w:pPr>
              <w:jc w:val="center"/>
              <w:rPr>
                <w:rFonts w:ascii="Times New Roman" w:hAnsi="Times New Roman" w:cs="Times New Roman"/>
                <w:szCs w:val="21"/>
              </w:rPr>
            </w:pPr>
            <w:r>
              <w:rPr>
                <w:rFonts w:ascii="Times New Roman" w:cs="Times New Roman" w:hAnsiTheme="minorEastAsia"/>
                <w:szCs w:val="21"/>
              </w:rPr>
              <w:t>兽医师</w:t>
            </w:r>
          </w:p>
        </w:tc>
        <w:tc>
          <w:tcPr>
            <w:tcW w:w="2115" w:type="dxa"/>
            <w:tcBorders>
              <w:top w:val="single" w:color="auto" w:sz="4" w:space="0"/>
              <w:left w:val="nil"/>
              <w:bottom w:val="single" w:color="auto" w:sz="4" w:space="0"/>
              <w:right w:val="single" w:color="auto" w:sz="4" w:space="0"/>
            </w:tcBorders>
          </w:tcPr>
          <w:p w14:paraId="02DCB278">
            <w:pPr>
              <w:rPr>
                <w:rFonts w:ascii="Times New Roman" w:hAnsi="Times New Roman" w:cs="Times New Roman"/>
              </w:rPr>
            </w:pPr>
            <w:r>
              <w:rPr>
                <w:rFonts w:ascii="Times New Roman" w:cs="Times New Roman" w:hAnsiTheme="minorEastAsia"/>
                <w:szCs w:val="21"/>
              </w:rPr>
              <w:t>广西壮族自治区动物疫病预防控制中心</w:t>
            </w:r>
          </w:p>
        </w:tc>
        <w:tc>
          <w:tcPr>
            <w:tcW w:w="3075" w:type="dxa"/>
            <w:tcBorders>
              <w:top w:val="single" w:color="auto" w:sz="4" w:space="0"/>
              <w:left w:val="nil"/>
              <w:bottom w:val="single" w:color="auto" w:sz="4" w:space="0"/>
              <w:right w:val="single" w:color="auto" w:sz="4" w:space="0"/>
            </w:tcBorders>
            <w:vAlign w:val="center"/>
          </w:tcPr>
          <w:p w14:paraId="316C1AED">
            <w:pPr>
              <w:jc w:val="center"/>
              <w:rPr>
                <w:rFonts w:ascii="Times New Roman" w:hAnsi="Times New Roman" w:cs="Times New Roman"/>
              </w:rPr>
            </w:pPr>
            <w:r>
              <w:rPr>
                <w:rFonts w:ascii="Times New Roman" w:cs="Times New Roman" w:hAnsiTheme="minorEastAsia"/>
                <w:szCs w:val="21"/>
              </w:rPr>
              <w:t>修改、编制等</w:t>
            </w:r>
          </w:p>
        </w:tc>
      </w:tr>
      <w:tr w14:paraId="13B11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6F02CB77">
            <w:pPr>
              <w:jc w:val="center"/>
              <w:rPr>
                <w:rFonts w:ascii="Times New Roman" w:hAnsi="Times New Roman" w:cs="Times New Roman"/>
                <w:szCs w:val="21"/>
              </w:rPr>
            </w:pPr>
            <w:r>
              <w:rPr>
                <w:rFonts w:ascii="Times New Roman" w:hAnsi="Times New Roman" w:eastAsia="宋体" w:cs="Times New Roman"/>
                <w:szCs w:val="21"/>
              </w:rPr>
              <w:t>韦芳</w:t>
            </w:r>
          </w:p>
        </w:tc>
        <w:tc>
          <w:tcPr>
            <w:tcW w:w="1614" w:type="dxa"/>
            <w:tcBorders>
              <w:top w:val="single" w:color="auto" w:sz="4" w:space="0"/>
              <w:left w:val="nil"/>
              <w:bottom w:val="single" w:color="auto" w:sz="4" w:space="0"/>
              <w:right w:val="single" w:color="auto" w:sz="4" w:space="0"/>
            </w:tcBorders>
            <w:vAlign w:val="center"/>
          </w:tcPr>
          <w:p w14:paraId="5F834F0A">
            <w:pPr>
              <w:jc w:val="center"/>
              <w:rPr>
                <w:rFonts w:ascii="Times New Roman" w:hAnsi="Times New Roman" w:cs="Times New Roman"/>
                <w:szCs w:val="21"/>
              </w:rPr>
            </w:pPr>
            <w:r>
              <w:rPr>
                <w:rFonts w:ascii="Times New Roman" w:cs="Times New Roman" w:hAnsiTheme="minorEastAsia"/>
                <w:szCs w:val="21"/>
              </w:rPr>
              <w:t>兽医师</w:t>
            </w:r>
          </w:p>
        </w:tc>
        <w:tc>
          <w:tcPr>
            <w:tcW w:w="2115" w:type="dxa"/>
            <w:tcBorders>
              <w:top w:val="single" w:color="auto" w:sz="4" w:space="0"/>
              <w:left w:val="nil"/>
              <w:bottom w:val="single" w:color="auto" w:sz="4" w:space="0"/>
              <w:right w:val="single" w:color="auto" w:sz="4" w:space="0"/>
            </w:tcBorders>
          </w:tcPr>
          <w:p w14:paraId="43BBEBA1">
            <w:pPr>
              <w:rPr>
                <w:rFonts w:ascii="Times New Roman" w:hAnsi="Times New Roman" w:cs="Times New Roman"/>
              </w:rPr>
            </w:pPr>
            <w:r>
              <w:rPr>
                <w:rFonts w:ascii="Times New Roman" w:cs="Times New Roman" w:hAnsiTheme="minorEastAsia"/>
                <w:szCs w:val="21"/>
              </w:rPr>
              <w:t>广西壮族自治区动物疫病预防控制中心</w:t>
            </w:r>
          </w:p>
        </w:tc>
        <w:tc>
          <w:tcPr>
            <w:tcW w:w="3075" w:type="dxa"/>
            <w:tcBorders>
              <w:top w:val="single" w:color="auto" w:sz="4" w:space="0"/>
              <w:left w:val="nil"/>
              <w:bottom w:val="single" w:color="auto" w:sz="4" w:space="0"/>
              <w:right w:val="single" w:color="auto" w:sz="4" w:space="0"/>
            </w:tcBorders>
            <w:vAlign w:val="center"/>
          </w:tcPr>
          <w:p w14:paraId="7F4951D9">
            <w:pPr>
              <w:jc w:val="center"/>
              <w:rPr>
                <w:rFonts w:ascii="Times New Roman" w:hAnsi="Times New Roman" w:cs="Times New Roman"/>
              </w:rPr>
            </w:pPr>
            <w:r>
              <w:rPr>
                <w:rFonts w:ascii="Times New Roman" w:cs="Times New Roman" w:hAnsiTheme="minorEastAsia"/>
                <w:szCs w:val="21"/>
              </w:rPr>
              <w:t>修改、编制等</w:t>
            </w:r>
          </w:p>
        </w:tc>
      </w:tr>
      <w:tr w14:paraId="31671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2C355318">
            <w:pPr>
              <w:jc w:val="center"/>
              <w:rPr>
                <w:rFonts w:ascii="Times New Roman" w:hAnsi="Times New Roman" w:cs="Times New Roman"/>
                <w:szCs w:val="21"/>
              </w:rPr>
            </w:pPr>
            <w:r>
              <w:rPr>
                <w:rFonts w:ascii="Times New Roman" w:hAnsi="Times New Roman" w:eastAsia="宋体" w:cs="Times New Roman"/>
                <w:szCs w:val="21"/>
              </w:rPr>
              <w:t>钟华训</w:t>
            </w:r>
          </w:p>
        </w:tc>
        <w:tc>
          <w:tcPr>
            <w:tcW w:w="1614" w:type="dxa"/>
            <w:tcBorders>
              <w:top w:val="single" w:color="auto" w:sz="4" w:space="0"/>
              <w:left w:val="nil"/>
              <w:bottom w:val="single" w:color="auto" w:sz="4" w:space="0"/>
              <w:right w:val="single" w:color="auto" w:sz="4" w:space="0"/>
            </w:tcBorders>
            <w:vAlign w:val="center"/>
          </w:tcPr>
          <w:p w14:paraId="219750C6">
            <w:pPr>
              <w:jc w:val="center"/>
              <w:rPr>
                <w:rFonts w:ascii="Times New Roman" w:hAnsi="Times New Roman" w:cs="Times New Roman"/>
                <w:szCs w:val="21"/>
              </w:rPr>
            </w:pPr>
            <w:r>
              <w:rPr>
                <w:rFonts w:ascii="Times New Roman" w:cs="Times New Roman" w:hAnsiTheme="minorEastAsia"/>
                <w:szCs w:val="21"/>
              </w:rPr>
              <w:t>兽医师</w:t>
            </w:r>
          </w:p>
        </w:tc>
        <w:tc>
          <w:tcPr>
            <w:tcW w:w="2115" w:type="dxa"/>
            <w:tcBorders>
              <w:top w:val="single" w:color="auto" w:sz="4" w:space="0"/>
              <w:left w:val="nil"/>
              <w:bottom w:val="single" w:color="auto" w:sz="4" w:space="0"/>
              <w:right w:val="single" w:color="auto" w:sz="4" w:space="0"/>
            </w:tcBorders>
          </w:tcPr>
          <w:p w14:paraId="28DE84D6">
            <w:pPr>
              <w:rPr>
                <w:rFonts w:ascii="Times New Roman" w:hAnsi="Times New Roman" w:cs="Times New Roman"/>
              </w:rPr>
            </w:pPr>
            <w:r>
              <w:rPr>
                <w:rFonts w:ascii="Times New Roman" w:cs="Times New Roman" w:hAnsiTheme="minorEastAsia"/>
                <w:szCs w:val="21"/>
              </w:rPr>
              <w:t>广西壮族自治区动物疫病预防控制中心</w:t>
            </w:r>
          </w:p>
        </w:tc>
        <w:tc>
          <w:tcPr>
            <w:tcW w:w="3075" w:type="dxa"/>
            <w:tcBorders>
              <w:top w:val="single" w:color="auto" w:sz="4" w:space="0"/>
              <w:left w:val="nil"/>
              <w:bottom w:val="single" w:color="auto" w:sz="4" w:space="0"/>
              <w:right w:val="single" w:color="auto" w:sz="4" w:space="0"/>
            </w:tcBorders>
            <w:vAlign w:val="center"/>
          </w:tcPr>
          <w:p w14:paraId="2FA8BB22">
            <w:pPr>
              <w:jc w:val="center"/>
              <w:rPr>
                <w:rFonts w:ascii="Times New Roman" w:hAnsi="Times New Roman" w:cs="Times New Roman"/>
              </w:rPr>
            </w:pPr>
            <w:r>
              <w:rPr>
                <w:rFonts w:ascii="Times New Roman" w:cs="Times New Roman" w:hAnsiTheme="minorEastAsia"/>
                <w:szCs w:val="21"/>
              </w:rPr>
              <w:t>修改、编制等</w:t>
            </w:r>
          </w:p>
        </w:tc>
      </w:tr>
      <w:tr w14:paraId="2B2B0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435E3470">
            <w:pPr>
              <w:jc w:val="center"/>
              <w:rPr>
                <w:rFonts w:ascii="Times New Roman" w:hAnsi="Times New Roman" w:cs="Times New Roman"/>
                <w:szCs w:val="21"/>
              </w:rPr>
            </w:pPr>
            <w:r>
              <w:rPr>
                <w:rFonts w:ascii="Times New Roman" w:hAnsi="Times New Roman" w:eastAsia="宋体" w:cs="Times New Roman"/>
                <w:szCs w:val="21"/>
              </w:rPr>
              <w:t>梁园明</w:t>
            </w:r>
          </w:p>
        </w:tc>
        <w:tc>
          <w:tcPr>
            <w:tcW w:w="1614" w:type="dxa"/>
            <w:tcBorders>
              <w:top w:val="single" w:color="auto" w:sz="4" w:space="0"/>
              <w:left w:val="nil"/>
              <w:bottom w:val="single" w:color="auto" w:sz="4" w:space="0"/>
              <w:right w:val="single" w:color="auto" w:sz="4" w:space="0"/>
            </w:tcBorders>
            <w:vAlign w:val="center"/>
          </w:tcPr>
          <w:p w14:paraId="611940DF">
            <w:pPr>
              <w:jc w:val="center"/>
              <w:rPr>
                <w:rFonts w:ascii="Times New Roman" w:hAnsi="Times New Roman" w:cs="Times New Roman"/>
                <w:szCs w:val="21"/>
              </w:rPr>
            </w:pPr>
            <w:r>
              <w:rPr>
                <w:rFonts w:ascii="Times New Roman" w:cs="Times New Roman" w:hAnsiTheme="minorEastAsia"/>
                <w:szCs w:val="21"/>
              </w:rPr>
              <w:t>兽医主管</w:t>
            </w:r>
          </w:p>
        </w:tc>
        <w:tc>
          <w:tcPr>
            <w:tcW w:w="2115" w:type="dxa"/>
            <w:tcBorders>
              <w:top w:val="single" w:color="auto" w:sz="4" w:space="0"/>
              <w:left w:val="nil"/>
              <w:bottom w:val="single" w:color="auto" w:sz="4" w:space="0"/>
              <w:right w:val="single" w:color="auto" w:sz="4" w:space="0"/>
            </w:tcBorders>
            <w:vAlign w:val="center"/>
          </w:tcPr>
          <w:p w14:paraId="4C165787">
            <w:pPr>
              <w:jc w:val="center"/>
              <w:rPr>
                <w:rFonts w:ascii="Times New Roman" w:hAnsi="Times New Roman" w:cs="Times New Roman"/>
                <w:szCs w:val="21"/>
              </w:rPr>
            </w:pPr>
            <w:r>
              <w:rPr>
                <w:rFonts w:ascii="Times New Roman" w:cs="Times New Roman" w:hAnsiTheme="minorEastAsia"/>
                <w:szCs w:val="21"/>
              </w:rPr>
              <w:t>皇氏赛尔生物科技（广西）有限公司</w:t>
            </w:r>
          </w:p>
        </w:tc>
        <w:tc>
          <w:tcPr>
            <w:tcW w:w="3075" w:type="dxa"/>
            <w:tcBorders>
              <w:top w:val="single" w:color="auto" w:sz="4" w:space="0"/>
              <w:left w:val="nil"/>
              <w:bottom w:val="single" w:color="auto" w:sz="4" w:space="0"/>
              <w:right w:val="single" w:color="auto" w:sz="4" w:space="0"/>
            </w:tcBorders>
            <w:vAlign w:val="center"/>
          </w:tcPr>
          <w:p w14:paraId="200E895A">
            <w:pPr>
              <w:jc w:val="center"/>
              <w:rPr>
                <w:rFonts w:ascii="Times New Roman" w:hAnsi="Times New Roman" w:cs="Times New Roman"/>
              </w:rPr>
            </w:pPr>
            <w:r>
              <w:rPr>
                <w:rFonts w:ascii="Times New Roman" w:cs="Times New Roman" w:hAnsiTheme="minorEastAsia"/>
                <w:szCs w:val="21"/>
              </w:rPr>
              <w:t>修改、编制等</w:t>
            </w:r>
          </w:p>
        </w:tc>
      </w:tr>
      <w:tr w14:paraId="67B92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09F12715">
            <w:pPr>
              <w:jc w:val="center"/>
              <w:rPr>
                <w:rFonts w:ascii="Times New Roman" w:hAnsi="Times New Roman" w:eastAsia="宋体" w:cs="Times New Roman"/>
                <w:szCs w:val="21"/>
              </w:rPr>
            </w:pPr>
            <w:r>
              <w:rPr>
                <w:rFonts w:ascii="Times New Roman" w:hAnsi="Times New Roman" w:eastAsia="宋体" w:cs="Times New Roman"/>
                <w:szCs w:val="21"/>
              </w:rPr>
              <w:t>林斌</w:t>
            </w:r>
          </w:p>
        </w:tc>
        <w:tc>
          <w:tcPr>
            <w:tcW w:w="1614" w:type="dxa"/>
            <w:tcBorders>
              <w:top w:val="single" w:color="auto" w:sz="4" w:space="0"/>
              <w:left w:val="nil"/>
              <w:bottom w:val="single" w:color="auto" w:sz="4" w:space="0"/>
              <w:right w:val="single" w:color="auto" w:sz="4" w:space="0"/>
            </w:tcBorders>
            <w:vAlign w:val="center"/>
          </w:tcPr>
          <w:p w14:paraId="2D189681">
            <w:pPr>
              <w:jc w:val="center"/>
              <w:rPr>
                <w:rFonts w:ascii="Times New Roman" w:hAnsi="Times New Roman" w:cs="Times New Roman"/>
                <w:szCs w:val="21"/>
              </w:rPr>
            </w:pPr>
            <w:r>
              <w:rPr>
                <w:rFonts w:ascii="Times New Roman" w:cs="Times New Roman" w:hAnsiTheme="minorEastAsia"/>
                <w:szCs w:val="21"/>
              </w:rPr>
              <w:t>技师</w:t>
            </w:r>
          </w:p>
        </w:tc>
        <w:tc>
          <w:tcPr>
            <w:tcW w:w="2115" w:type="dxa"/>
            <w:tcBorders>
              <w:top w:val="single" w:color="auto" w:sz="4" w:space="0"/>
              <w:left w:val="nil"/>
              <w:bottom w:val="single" w:color="auto" w:sz="4" w:space="0"/>
              <w:right w:val="single" w:color="auto" w:sz="4" w:space="0"/>
            </w:tcBorders>
            <w:vAlign w:val="center"/>
          </w:tcPr>
          <w:p w14:paraId="08AE3A05">
            <w:pPr>
              <w:jc w:val="center"/>
              <w:rPr>
                <w:rFonts w:ascii="Times New Roman" w:hAnsi="Times New Roman" w:cs="Times New Roman"/>
                <w:szCs w:val="21"/>
              </w:rPr>
            </w:pPr>
            <w:r>
              <w:rPr>
                <w:rFonts w:ascii="Times New Roman" w:cs="Times New Roman" w:hAnsiTheme="minorEastAsia"/>
                <w:szCs w:val="21"/>
              </w:rPr>
              <w:t>广西壮族自治区动物疫病预防控制中心</w:t>
            </w:r>
          </w:p>
        </w:tc>
        <w:tc>
          <w:tcPr>
            <w:tcW w:w="3075" w:type="dxa"/>
            <w:tcBorders>
              <w:top w:val="single" w:color="auto" w:sz="4" w:space="0"/>
              <w:left w:val="nil"/>
              <w:bottom w:val="single" w:color="auto" w:sz="4" w:space="0"/>
              <w:right w:val="single" w:color="auto" w:sz="4" w:space="0"/>
            </w:tcBorders>
            <w:vAlign w:val="center"/>
          </w:tcPr>
          <w:p w14:paraId="0D5A6E85">
            <w:pPr>
              <w:jc w:val="center"/>
              <w:rPr>
                <w:rFonts w:ascii="Times New Roman" w:hAnsi="Times New Roman" w:cs="Times New Roman"/>
              </w:rPr>
            </w:pPr>
            <w:r>
              <w:rPr>
                <w:rFonts w:ascii="Times New Roman" w:cs="Times New Roman" w:hAnsiTheme="minorEastAsia"/>
                <w:szCs w:val="21"/>
              </w:rPr>
              <w:t>修改、编制等</w:t>
            </w:r>
          </w:p>
        </w:tc>
      </w:tr>
      <w:tr w14:paraId="68347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5671BCAE">
            <w:pPr>
              <w:jc w:val="center"/>
              <w:rPr>
                <w:rFonts w:ascii="Times New Roman" w:hAnsi="Times New Roman" w:cs="Times New Roman"/>
                <w:szCs w:val="21"/>
              </w:rPr>
            </w:pPr>
            <w:r>
              <w:rPr>
                <w:rFonts w:ascii="Times New Roman" w:hAnsi="Times New Roman" w:eastAsia="宋体" w:cs="Times New Roman"/>
                <w:szCs w:val="21"/>
              </w:rPr>
              <w:t>麻永三</w:t>
            </w:r>
          </w:p>
        </w:tc>
        <w:tc>
          <w:tcPr>
            <w:tcW w:w="1614" w:type="dxa"/>
            <w:tcBorders>
              <w:top w:val="single" w:color="auto" w:sz="4" w:space="0"/>
              <w:left w:val="nil"/>
              <w:bottom w:val="single" w:color="auto" w:sz="4" w:space="0"/>
              <w:right w:val="single" w:color="auto" w:sz="4" w:space="0"/>
            </w:tcBorders>
            <w:vAlign w:val="center"/>
          </w:tcPr>
          <w:p w14:paraId="2F4B42BD">
            <w:pPr>
              <w:jc w:val="center"/>
              <w:rPr>
                <w:rFonts w:ascii="Times New Roman" w:hAnsi="Times New Roman" w:cs="Times New Roman"/>
                <w:szCs w:val="21"/>
              </w:rPr>
            </w:pPr>
            <w:r>
              <w:rPr>
                <w:rFonts w:ascii="Times New Roman" w:cs="Times New Roman" w:hAnsiTheme="minorEastAsia"/>
                <w:szCs w:val="21"/>
              </w:rPr>
              <w:t>高级兽医师</w:t>
            </w:r>
          </w:p>
        </w:tc>
        <w:tc>
          <w:tcPr>
            <w:tcW w:w="2115" w:type="dxa"/>
            <w:tcBorders>
              <w:top w:val="single" w:color="auto" w:sz="4" w:space="0"/>
              <w:left w:val="nil"/>
              <w:bottom w:val="single" w:color="auto" w:sz="4" w:space="0"/>
              <w:right w:val="single" w:color="auto" w:sz="4" w:space="0"/>
            </w:tcBorders>
            <w:vAlign w:val="center"/>
          </w:tcPr>
          <w:p w14:paraId="53A85BA7">
            <w:pPr>
              <w:jc w:val="center"/>
              <w:rPr>
                <w:rFonts w:ascii="Times New Roman" w:hAnsi="Times New Roman" w:cs="Times New Roman"/>
                <w:szCs w:val="21"/>
              </w:rPr>
            </w:pPr>
            <w:r>
              <w:rPr>
                <w:rFonts w:ascii="Times New Roman" w:cs="Times New Roman" w:hAnsiTheme="minorEastAsia"/>
                <w:szCs w:val="21"/>
              </w:rPr>
              <w:t>田东县动物疫病预防控制中心</w:t>
            </w:r>
          </w:p>
        </w:tc>
        <w:tc>
          <w:tcPr>
            <w:tcW w:w="3075" w:type="dxa"/>
            <w:tcBorders>
              <w:top w:val="single" w:color="auto" w:sz="4" w:space="0"/>
              <w:left w:val="nil"/>
              <w:bottom w:val="single" w:color="auto" w:sz="4" w:space="0"/>
              <w:right w:val="single" w:color="auto" w:sz="4" w:space="0"/>
            </w:tcBorders>
            <w:vAlign w:val="center"/>
          </w:tcPr>
          <w:p w14:paraId="00B72675">
            <w:pPr>
              <w:jc w:val="center"/>
              <w:rPr>
                <w:rFonts w:ascii="Times New Roman" w:hAnsi="Times New Roman" w:cs="Times New Roman"/>
              </w:rPr>
            </w:pPr>
            <w:r>
              <w:rPr>
                <w:rFonts w:ascii="Times New Roman" w:cs="Times New Roman" w:hAnsiTheme="minorEastAsia"/>
                <w:szCs w:val="21"/>
              </w:rPr>
              <w:t>修改、编制等</w:t>
            </w:r>
          </w:p>
        </w:tc>
      </w:tr>
      <w:tr w14:paraId="5F3AE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0139D2D7">
            <w:pPr>
              <w:jc w:val="center"/>
              <w:rPr>
                <w:rFonts w:ascii="Times New Roman" w:hAnsi="Times New Roman" w:cs="Times New Roman"/>
                <w:szCs w:val="21"/>
              </w:rPr>
            </w:pPr>
            <w:r>
              <w:rPr>
                <w:rFonts w:ascii="Times New Roman" w:hAnsi="Times New Roman" w:eastAsia="宋体" w:cs="Times New Roman"/>
                <w:szCs w:val="21"/>
              </w:rPr>
              <w:t>黄丽娟</w:t>
            </w:r>
          </w:p>
        </w:tc>
        <w:tc>
          <w:tcPr>
            <w:tcW w:w="1614" w:type="dxa"/>
            <w:tcBorders>
              <w:top w:val="single" w:color="auto" w:sz="4" w:space="0"/>
              <w:left w:val="nil"/>
              <w:bottom w:val="single" w:color="auto" w:sz="4" w:space="0"/>
              <w:right w:val="single" w:color="auto" w:sz="4" w:space="0"/>
            </w:tcBorders>
            <w:vAlign w:val="center"/>
          </w:tcPr>
          <w:p w14:paraId="36A38897">
            <w:pPr>
              <w:jc w:val="center"/>
              <w:rPr>
                <w:rFonts w:ascii="Times New Roman" w:hAnsi="Times New Roman" w:cs="Times New Roman"/>
                <w:szCs w:val="21"/>
              </w:rPr>
            </w:pPr>
            <w:r>
              <w:rPr>
                <w:rFonts w:hint="eastAsia" w:ascii="Times New Roman" w:hAnsi="Times New Roman" w:cs="Times New Roman"/>
                <w:szCs w:val="21"/>
              </w:rPr>
              <w:t>兽医师</w:t>
            </w:r>
          </w:p>
        </w:tc>
        <w:tc>
          <w:tcPr>
            <w:tcW w:w="2115" w:type="dxa"/>
            <w:tcBorders>
              <w:top w:val="single" w:color="auto" w:sz="4" w:space="0"/>
              <w:left w:val="nil"/>
              <w:bottom w:val="single" w:color="auto" w:sz="4" w:space="0"/>
              <w:right w:val="single" w:color="auto" w:sz="4" w:space="0"/>
            </w:tcBorders>
            <w:vAlign w:val="center"/>
          </w:tcPr>
          <w:p w14:paraId="5580C630">
            <w:pPr>
              <w:jc w:val="center"/>
              <w:rPr>
                <w:rFonts w:ascii="Times New Roman" w:hAnsi="Times New Roman" w:cs="Times New Roman"/>
                <w:szCs w:val="21"/>
              </w:rPr>
            </w:pPr>
            <w:r>
              <w:rPr>
                <w:rFonts w:ascii="Times New Roman" w:cs="Times New Roman" w:hAnsiTheme="minorEastAsia"/>
                <w:szCs w:val="21"/>
              </w:rPr>
              <w:t>田东县动物疫病预防控制中心</w:t>
            </w:r>
          </w:p>
        </w:tc>
        <w:tc>
          <w:tcPr>
            <w:tcW w:w="3075" w:type="dxa"/>
            <w:tcBorders>
              <w:top w:val="single" w:color="auto" w:sz="4" w:space="0"/>
              <w:left w:val="nil"/>
              <w:bottom w:val="single" w:color="auto" w:sz="4" w:space="0"/>
              <w:right w:val="single" w:color="auto" w:sz="4" w:space="0"/>
            </w:tcBorders>
            <w:vAlign w:val="center"/>
          </w:tcPr>
          <w:p w14:paraId="45A1C258">
            <w:pPr>
              <w:jc w:val="center"/>
              <w:rPr>
                <w:rFonts w:ascii="Times New Roman" w:hAnsi="Times New Roman" w:cs="Times New Roman"/>
              </w:rPr>
            </w:pPr>
            <w:r>
              <w:rPr>
                <w:rFonts w:ascii="Times New Roman" w:cs="Times New Roman" w:hAnsiTheme="minorEastAsia"/>
                <w:szCs w:val="21"/>
              </w:rPr>
              <w:t>修改、编制等</w:t>
            </w:r>
          </w:p>
        </w:tc>
      </w:tr>
      <w:tr w14:paraId="1786B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0709BF79">
            <w:pPr>
              <w:jc w:val="center"/>
              <w:rPr>
                <w:rFonts w:ascii="Times New Roman" w:hAnsi="Times New Roman" w:cs="Times New Roman"/>
                <w:szCs w:val="21"/>
              </w:rPr>
            </w:pPr>
            <w:r>
              <w:rPr>
                <w:rFonts w:ascii="Times New Roman" w:hAnsi="Times New Roman" w:eastAsia="宋体" w:cs="Times New Roman"/>
                <w:szCs w:val="21"/>
              </w:rPr>
              <w:t>黄稳妃</w:t>
            </w:r>
          </w:p>
        </w:tc>
        <w:tc>
          <w:tcPr>
            <w:tcW w:w="1614" w:type="dxa"/>
            <w:tcBorders>
              <w:top w:val="single" w:color="auto" w:sz="4" w:space="0"/>
              <w:left w:val="nil"/>
              <w:bottom w:val="single" w:color="auto" w:sz="4" w:space="0"/>
              <w:right w:val="single" w:color="auto" w:sz="4" w:space="0"/>
            </w:tcBorders>
            <w:vAlign w:val="center"/>
          </w:tcPr>
          <w:p w14:paraId="6B4C6B55">
            <w:pPr>
              <w:jc w:val="center"/>
              <w:rPr>
                <w:rFonts w:ascii="Times New Roman" w:hAnsi="Times New Roman" w:cs="Times New Roman"/>
                <w:szCs w:val="21"/>
              </w:rPr>
            </w:pPr>
            <w:r>
              <w:rPr>
                <w:rFonts w:ascii="Times New Roman" w:cs="Times New Roman" w:hAnsiTheme="minorEastAsia"/>
                <w:szCs w:val="21"/>
              </w:rPr>
              <w:t>高级兽医师</w:t>
            </w:r>
          </w:p>
        </w:tc>
        <w:tc>
          <w:tcPr>
            <w:tcW w:w="2115" w:type="dxa"/>
            <w:tcBorders>
              <w:top w:val="single" w:color="auto" w:sz="4" w:space="0"/>
              <w:left w:val="nil"/>
              <w:bottom w:val="single" w:color="auto" w:sz="4" w:space="0"/>
              <w:right w:val="single" w:color="auto" w:sz="4" w:space="0"/>
            </w:tcBorders>
            <w:vAlign w:val="center"/>
          </w:tcPr>
          <w:p w14:paraId="302A9114">
            <w:pPr>
              <w:jc w:val="center"/>
              <w:rPr>
                <w:rFonts w:ascii="Times New Roman" w:hAnsi="Times New Roman" w:cs="Times New Roman"/>
                <w:szCs w:val="21"/>
              </w:rPr>
            </w:pPr>
            <w:r>
              <w:rPr>
                <w:rFonts w:ascii="Times New Roman" w:cs="Times New Roman" w:hAnsiTheme="minorEastAsia"/>
                <w:szCs w:val="21"/>
              </w:rPr>
              <w:t>皇氏赛尔生物科技（广西）有限公司</w:t>
            </w:r>
          </w:p>
        </w:tc>
        <w:tc>
          <w:tcPr>
            <w:tcW w:w="3075" w:type="dxa"/>
            <w:tcBorders>
              <w:top w:val="single" w:color="auto" w:sz="4" w:space="0"/>
              <w:left w:val="nil"/>
              <w:bottom w:val="single" w:color="auto" w:sz="4" w:space="0"/>
              <w:right w:val="single" w:color="auto" w:sz="4" w:space="0"/>
            </w:tcBorders>
            <w:vAlign w:val="center"/>
          </w:tcPr>
          <w:p w14:paraId="7A992417">
            <w:pPr>
              <w:jc w:val="center"/>
              <w:rPr>
                <w:rFonts w:ascii="Times New Roman" w:hAnsi="Times New Roman" w:cs="Times New Roman"/>
              </w:rPr>
            </w:pPr>
            <w:r>
              <w:rPr>
                <w:rFonts w:ascii="Times New Roman" w:cs="Times New Roman" w:hAnsiTheme="minorEastAsia"/>
                <w:szCs w:val="21"/>
              </w:rPr>
              <w:t>修改、编制等</w:t>
            </w:r>
          </w:p>
        </w:tc>
      </w:tr>
      <w:tr w14:paraId="59954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17F836C8">
            <w:pPr>
              <w:jc w:val="center"/>
              <w:rPr>
                <w:rFonts w:ascii="Times New Roman" w:hAnsi="Times New Roman" w:cs="Times New Roman"/>
                <w:szCs w:val="21"/>
              </w:rPr>
            </w:pPr>
            <w:r>
              <w:rPr>
                <w:rFonts w:ascii="Times New Roman" w:hAnsi="Times New Roman" w:eastAsia="宋体" w:cs="Times New Roman"/>
                <w:szCs w:val="21"/>
              </w:rPr>
              <w:t>龚慧超</w:t>
            </w:r>
          </w:p>
        </w:tc>
        <w:tc>
          <w:tcPr>
            <w:tcW w:w="1614" w:type="dxa"/>
            <w:tcBorders>
              <w:top w:val="single" w:color="auto" w:sz="4" w:space="0"/>
              <w:left w:val="nil"/>
              <w:bottom w:val="single" w:color="auto" w:sz="4" w:space="0"/>
              <w:right w:val="single" w:color="auto" w:sz="4" w:space="0"/>
            </w:tcBorders>
            <w:vAlign w:val="center"/>
          </w:tcPr>
          <w:p w14:paraId="75D8E79C">
            <w:pPr>
              <w:jc w:val="center"/>
              <w:rPr>
                <w:rFonts w:ascii="Times New Roman" w:hAnsi="Times New Roman" w:cs="Times New Roman"/>
                <w:szCs w:val="21"/>
              </w:rPr>
            </w:pPr>
            <w:r>
              <w:rPr>
                <w:rFonts w:ascii="Times New Roman" w:cs="Times New Roman" w:hAnsiTheme="minorEastAsia"/>
                <w:szCs w:val="21"/>
              </w:rPr>
              <w:t>兽医师</w:t>
            </w:r>
          </w:p>
        </w:tc>
        <w:tc>
          <w:tcPr>
            <w:tcW w:w="2115" w:type="dxa"/>
            <w:tcBorders>
              <w:top w:val="single" w:color="auto" w:sz="4" w:space="0"/>
              <w:left w:val="nil"/>
              <w:bottom w:val="single" w:color="auto" w:sz="4" w:space="0"/>
              <w:right w:val="single" w:color="auto" w:sz="4" w:space="0"/>
            </w:tcBorders>
            <w:vAlign w:val="center"/>
          </w:tcPr>
          <w:p w14:paraId="4E3B84E3">
            <w:pPr>
              <w:jc w:val="center"/>
              <w:rPr>
                <w:rFonts w:ascii="Times New Roman" w:hAnsi="Times New Roman" w:cs="Times New Roman"/>
                <w:szCs w:val="21"/>
              </w:rPr>
            </w:pPr>
            <w:r>
              <w:rPr>
                <w:rFonts w:ascii="Times New Roman" w:cs="Times New Roman" w:hAnsiTheme="minorEastAsia"/>
                <w:szCs w:val="21"/>
              </w:rPr>
              <w:t>皇氏赛尔生物科技（广西）有限公司</w:t>
            </w:r>
          </w:p>
        </w:tc>
        <w:tc>
          <w:tcPr>
            <w:tcW w:w="3075" w:type="dxa"/>
            <w:tcBorders>
              <w:top w:val="single" w:color="auto" w:sz="4" w:space="0"/>
              <w:left w:val="nil"/>
              <w:bottom w:val="single" w:color="auto" w:sz="4" w:space="0"/>
              <w:right w:val="single" w:color="auto" w:sz="4" w:space="0"/>
            </w:tcBorders>
            <w:vAlign w:val="center"/>
          </w:tcPr>
          <w:p w14:paraId="1F499283">
            <w:pPr>
              <w:jc w:val="center"/>
              <w:rPr>
                <w:rFonts w:ascii="Times New Roman" w:hAnsi="Times New Roman" w:cs="Times New Roman"/>
              </w:rPr>
            </w:pPr>
            <w:r>
              <w:rPr>
                <w:rFonts w:ascii="Times New Roman" w:cs="Times New Roman" w:hAnsiTheme="minorEastAsia"/>
                <w:szCs w:val="21"/>
              </w:rPr>
              <w:t>修改、编制等</w:t>
            </w:r>
          </w:p>
        </w:tc>
      </w:tr>
    </w:tbl>
    <w:p w14:paraId="1DA57C46">
      <w:pPr>
        <w:rPr>
          <w:rFonts w:ascii="Times New Roman" w:hAnsi="Times New Roman" w:cs="Times New Roman"/>
          <w:szCs w:val="21"/>
        </w:rPr>
      </w:pPr>
    </w:p>
    <w:p w14:paraId="4AE794F0">
      <w:pPr>
        <w:spacing w:line="360" w:lineRule="auto"/>
        <w:ind w:firstLine="560" w:firstLineChars="200"/>
        <w:rPr>
          <w:rFonts w:ascii="Times New Roman" w:hAnsi="Times New Roman" w:cs="Times New Roman"/>
          <w:sz w:val="28"/>
          <w:szCs w:val="28"/>
        </w:rPr>
      </w:pPr>
      <w:r>
        <w:rPr>
          <w:rFonts w:ascii="Times New Roman" w:cs="Times New Roman" w:hAnsiTheme="minorEastAsia"/>
          <w:sz w:val="28"/>
          <w:szCs w:val="28"/>
        </w:rPr>
        <w:t>（三）主要起草过程</w:t>
      </w:r>
    </w:p>
    <w:p w14:paraId="60ECAAAD">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2024年</w:t>
      </w:r>
      <w:r>
        <w:rPr>
          <w:rFonts w:hint="eastAsia" w:ascii="Times New Roman" w:hAnsi="Times New Roman" w:cs="Times New Roman"/>
          <w:sz w:val="28"/>
          <w:szCs w:val="28"/>
        </w:rPr>
        <w:t>5</w:t>
      </w:r>
      <w:r>
        <w:rPr>
          <w:rFonts w:ascii="Times New Roman" w:hAnsi="Times New Roman" w:cs="Times New Roman"/>
          <w:sz w:val="28"/>
          <w:szCs w:val="28"/>
        </w:rPr>
        <w:t>月，召开标准编制讨论会，讨论开展标准编制的方案，标准制定的思路等。</w:t>
      </w:r>
    </w:p>
    <w:p w14:paraId="1D0F87AD">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2024年</w:t>
      </w:r>
      <w:r>
        <w:rPr>
          <w:rFonts w:hint="eastAsia" w:ascii="Times New Roman" w:hAnsi="Times New Roman" w:cs="Times New Roman"/>
          <w:sz w:val="28"/>
          <w:szCs w:val="28"/>
        </w:rPr>
        <w:t>8</w:t>
      </w:r>
      <w:r>
        <w:rPr>
          <w:rFonts w:ascii="Times New Roman" w:hAnsi="Times New Roman" w:cs="Times New Roman"/>
          <w:sz w:val="28"/>
          <w:szCs w:val="28"/>
        </w:rPr>
        <w:t>月，向广西标准化协会申请项目立项并获得批准。</w:t>
      </w:r>
    </w:p>
    <w:p w14:paraId="4614699A">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2024年</w:t>
      </w:r>
      <w:r>
        <w:rPr>
          <w:rFonts w:hint="eastAsia" w:ascii="Times New Roman" w:hAnsi="Times New Roman" w:cs="Times New Roman"/>
          <w:sz w:val="28"/>
          <w:szCs w:val="28"/>
        </w:rPr>
        <w:t>8</w:t>
      </w:r>
      <w:r>
        <w:rPr>
          <w:rFonts w:ascii="Times New Roman" w:hAnsi="Times New Roman" w:cs="Times New Roman"/>
          <w:sz w:val="28"/>
          <w:szCs w:val="28"/>
        </w:rPr>
        <w:t>月起，开展标准调研和相关资料收集整理工作。编写小组成员梳理国内相关法律、法规和政策，查阅相关文献。同时到全区各地市的肉牛、奶牛、水牛等集中养殖县域，通过实地考察、现场交流、面对面座谈等方式开展调研，了解各地牛养殖业发展情况，调查养殖场在日常管理、疫病控制和净化条件、建场和生产过程中遇到的问题。</w:t>
      </w:r>
    </w:p>
    <w:p w14:paraId="4C7CBA70">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2024年</w:t>
      </w:r>
      <w:r>
        <w:rPr>
          <w:rFonts w:hint="eastAsia" w:ascii="Times New Roman" w:hAnsi="Times New Roman" w:cs="Times New Roman"/>
          <w:sz w:val="28"/>
          <w:szCs w:val="28"/>
        </w:rPr>
        <w:t>9</w:t>
      </w:r>
      <w:r>
        <w:rPr>
          <w:rFonts w:ascii="Times New Roman" w:hAnsi="Times New Roman" w:cs="Times New Roman"/>
          <w:sz w:val="28"/>
          <w:szCs w:val="28"/>
        </w:rPr>
        <w:t>月起，进行本标准方法的初步设计及多重筛选，随后选取条件适宜的牛场，开展应用试点工作。</w:t>
      </w:r>
    </w:p>
    <w:p w14:paraId="0E426960">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2024年</w:t>
      </w:r>
      <w:r>
        <w:rPr>
          <w:rFonts w:hint="eastAsia" w:ascii="Times New Roman" w:hAnsi="Times New Roman" w:cs="Times New Roman"/>
          <w:sz w:val="28"/>
          <w:szCs w:val="28"/>
        </w:rPr>
        <w:t>9</w:t>
      </w:r>
      <w:r>
        <w:rPr>
          <w:rFonts w:ascii="Times New Roman" w:hAnsi="Times New Roman" w:cs="Times New Roman"/>
          <w:sz w:val="28"/>
          <w:szCs w:val="28"/>
        </w:rPr>
        <w:t>月，通过反复实验及现场论证，取得本标准方法的相关数据和技术成果，进行总结整理。</w:t>
      </w:r>
    </w:p>
    <w:p w14:paraId="604D2AFF">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2024年</w:t>
      </w:r>
      <w:r>
        <w:rPr>
          <w:rFonts w:hint="eastAsia" w:ascii="Times New Roman" w:hAnsi="Times New Roman" w:cs="Times New Roman"/>
          <w:sz w:val="28"/>
          <w:szCs w:val="28"/>
        </w:rPr>
        <w:t>10</w:t>
      </w:r>
      <w:r>
        <w:rPr>
          <w:rFonts w:ascii="Times New Roman" w:hAnsi="Times New Roman" w:cs="Times New Roman"/>
          <w:sz w:val="28"/>
          <w:szCs w:val="28"/>
        </w:rPr>
        <w:t>月，结合研究工作成果，组织标准起草人员开展充分研讨，开始标准文本草案的编写。</w:t>
      </w:r>
    </w:p>
    <w:p w14:paraId="0D9DBEED">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2024年</w:t>
      </w:r>
      <w:r>
        <w:rPr>
          <w:rFonts w:hint="eastAsia" w:ascii="Times New Roman" w:hAnsi="Times New Roman" w:cs="Times New Roman"/>
          <w:sz w:val="28"/>
          <w:szCs w:val="28"/>
        </w:rPr>
        <w:t>10</w:t>
      </w:r>
      <w:r>
        <w:rPr>
          <w:rFonts w:ascii="Times New Roman" w:hAnsi="Times New Roman" w:cs="Times New Roman"/>
          <w:sz w:val="28"/>
          <w:szCs w:val="28"/>
        </w:rPr>
        <w:t>月，完成草案稿的编写，组内专家及各参编单位对标准草案稿进行讨论并提出修改意见。</w:t>
      </w:r>
    </w:p>
    <w:p w14:paraId="7271A317">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三、主要技术要求确定的说明</w:t>
      </w:r>
    </w:p>
    <w:p w14:paraId="4BE23CE8">
      <w:pPr>
        <w:spacing w:line="360" w:lineRule="auto"/>
        <w:rPr>
          <w:rFonts w:ascii="Times New Roman" w:hAnsi="Times New Roman" w:cs="Times New Roman"/>
          <w:sz w:val="28"/>
          <w:szCs w:val="28"/>
        </w:rPr>
      </w:pPr>
      <w:r>
        <w:rPr>
          <w:rFonts w:ascii="Times New Roman" w:hAnsi="Times New Roman" w:cs="Times New Roman"/>
          <w:sz w:val="28"/>
          <w:szCs w:val="28"/>
        </w:rPr>
        <w:t xml:space="preserve">    （一）编制原则</w:t>
      </w:r>
    </w:p>
    <w:p w14:paraId="06EDF6F8">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（1）规范性：本标准根据GB/T 1.1-2020《标准化工作导则 第一部分：标准化文件的结构和起草规则》进行编制，按照标准制定的规范程序进行工作。</w:t>
      </w:r>
    </w:p>
    <w:p w14:paraId="0283BEF5">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（2）适用性：标准主要内容与标准的使用范围相匹配，标准的技术内容尽量完整。</w:t>
      </w:r>
    </w:p>
    <w:p w14:paraId="411F2C09">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 xml:space="preserve">（3）协调性： </w:t>
      </w:r>
    </w:p>
    <w:p w14:paraId="4AA95BD5">
      <w:pPr>
        <w:spacing w:line="360" w:lineRule="auto"/>
        <w:ind w:firstLine="560" w:firstLineChars="200"/>
        <w:rPr>
          <w:rFonts w:ascii="Times New Roman" w:hAnsi="Times New Roman" w:eastAsia="微软雅黑" w:cs="Times New Roman"/>
          <w:color w:val="000000"/>
          <w:sz w:val="27"/>
          <w:szCs w:val="27"/>
        </w:rPr>
      </w:pPr>
      <w:r>
        <w:rPr>
          <w:rFonts w:ascii="Times New Roman" w:hAnsi="Times New Roman" w:cs="Times New Roman"/>
          <w:sz w:val="28"/>
          <w:szCs w:val="28"/>
        </w:rPr>
        <w:t>目前国际、国内均未见针对丝状支原体丝状亚种和牛支原体鉴别检测的国家、行业和其他标准。国内仅有数个分别与牛支原体和丝状支原体诊断及检测相关的标准，分别是《DB37/T 3573-2019 牛支原体诊断技术规程》、《DB42/T 1024-2014 牛支原体肺炎诊断技术规程》、《NY/T 3234-2018 牛支原体PCR检测方法》、《DB45/T 1506-2017牛支原体的检测 多重聚合酶链反应法》（已废止）、《DB51/T 2297-2016 丝状支原体簇PCR检测方法》和《T/CVMA 132—2023丝状支原体山羊亚种实时荧光PCR检测方法》</w:t>
      </w:r>
      <w:r>
        <w:rPr>
          <w:rFonts w:hint="eastAsia" w:ascii="Times New Roman" w:hAnsi="Times New Roman" w:cs="Times New Roman"/>
          <w:sz w:val="28"/>
          <w:szCs w:val="28"/>
        </w:rPr>
        <w:t>。</w:t>
      </w:r>
    </w:p>
    <w:p w14:paraId="7593A3D7">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本标准特别注意与现有政策、法规和其他现行标准的协调，避免矛盾和冲突。具体如下：</w:t>
      </w:r>
    </w:p>
    <w:p w14:paraId="67B585FA">
      <w:pPr>
        <w:pStyle w:val="13"/>
        <w:ind w:firstLine="560"/>
        <w:rPr>
          <w:rFonts w:ascii="Times New Roman" w:eastAsiaTheme="minorEastAsia"/>
          <w:kern w:val="2"/>
          <w:sz w:val="28"/>
          <w:szCs w:val="28"/>
        </w:rPr>
      </w:pPr>
      <w:r>
        <w:rPr>
          <w:rFonts w:ascii="Times New Roman" w:eastAsiaTheme="minorEastAsia"/>
          <w:kern w:val="2"/>
          <w:sz w:val="28"/>
          <w:szCs w:val="28"/>
        </w:rPr>
        <w:t>GB 19489 实验室生物安全通用要求</w:t>
      </w:r>
    </w:p>
    <w:p w14:paraId="233B9D5C">
      <w:pPr>
        <w:pStyle w:val="15"/>
        <w:ind w:firstLine="560"/>
        <w:rPr>
          <w:rFonts w:ascii="Times New Roman" w:eastAsiaTheme="minorEastAsia"/>
          <w:kern w:val="2"/>
          <w:sz w:val="28"/>
          <w:szCs w:val="28"/>
        </w:rPr>
      </w:pPr>
      <w:r>
        <w:rPr>
          <w:rFonts w:ascii="Times New Roman" w:eastAsiaTheme="minorEastAsia"/>
          <w:kern w:val="2"/>
          <w:sz w:val="28"/>
          <w:szCs w:val="28"/>
        </w:rPr>
        <w:t>NY/T 541 兽医诊断样品采集、保存与运输技术规范</w:t>
      </w:r>
    </w:p>
    <w:p w14:paraId="3F0ADF4A">
      <w:pPr>
        <w:pStyle w:val="15"/>
        <w:ind w:firstLine="560"/>
        <w:rPr>
          <w:rFonts w:ascii="Times New Roman"/>
          <w:sz w:val="28"/>
          <w:szCs w:val="28"/>
        </w:rPr>
      </w:pPr>
      <w:r>
        <w:rPr>
          <w:rFonts w:ascii="Times New Roman" w:eastAsiaTheme="minorEastAsia"/>
          <w:kern w:val="2"/>
          <w:sz w:val="28"/>
          <w:szCs w:val="28"/>
        </w:rPr>
        <w:t>（二）标准适用范围和主要内容</w:t>
      </w:r>
    </w:p>
    <w:p w14:paraId="47D32ED1">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经过编写小组成员充分研讨决定，本标准适用于丝状支原体丝状亚种和牛支原体的快速鉴别检测，可对临床样品及分离培养物进行检测。本标准主要规定了应用二重TaqMan实时荧光PCR技术对丝状支原体丝状亚种和牛支原体进行鉴别检测的材料准备、操作方法及结果判定等方面的技术内容。</w:t>
      </w:r>
    </w:p>
    <w:p w14:paraId="66DEB760">
      <w:pPr>
        <w:pStyle w:val="15"/>
        <w:ind w:firstLine="560"/>
        <w:rPr>
          <w:rFonts w:ascii="Times New Roman" w:eastAsiaTheme="minorEastAsia"/>
          <w:kern w:val="2"/>
          <w:sz w:val="28"/>
          <w:szCs w:val="28"/>
        </w:rPr>
      </w:pPr>
      <w:r>
        <w:rPr>
          <w:rFonts w:ascii="Times New Roman" w:eastAsiaTheme="minorEastAsia"/>
          <w:kern w:val="2"/>
          <w:sz w:val="28"/>
          <w:szCs w:val="28"/>
        </w:rPr>
        <w:t>四、主要试验（验证）情况、关键指标来源和预期效果</w:t>
      </w:r>
    </w:p>
    <w:p w14:paraId="1BB1FEB3">
      <w:pPr>
        <w:pStyle w:val="15"/>
        <w:ind w:firstLine="560"/>
        <w:rPr>
          <w:rFonts w:ascii="Times New Roman" w:eastAsiaTheme="minorEastAsia"/>
          <w:kern w:val="2"/>
          <w:sz w:val="28"/>
          <w:szCs w:val="28"/>
        </w:rPr>
      </w:pPr>
      <w:r>
        <w:rPr>
          <w:rFonts w:ascii="Times New Roman" w:eastAsiaTheme="minorEastAsia"/>
          <w:kern w:val="2"/>
          <w:sz w:val="28"/>
          <w:szCs w:val="28"/>
        </w:rPr>
        <w:t>（一）主要试验（验证）情况和关键指标来源</w:t>
      </w:r>
    </w:p>
    <w:p w14:paraId="54404C82">
      <w:pPr>
        <w:pStyle w:val="15"/>
        <w:ind w:firstLine="560"/>
        <w:rPr>
          <w:rFonts w:ascii="Times New Roman"/>
          <w:sz w:val="28"/>
          <w:szCs w:val="28"/>
        </w:rPr>
      </w:pPr>
      <w:r>
        <w:rPr>
          <w:rFonts w:ascii="Times New Roman" w:eastAsiaTheme="minorEastAsia"/>
          <w:kern w:val="2"/>
          <w:sz w:val="28"/>
          <w:szCs w:val="28"/>
        </w:rPr>
        <w:t>团体标准《丝状支原体丝状亚种和牛支原体鉴别检测 二重Taqman荧光法》经由</w:t>
      </w:r>
      <w:r>
        <w:rPr>
          <w:rFonts w:ascii="Times New Roman"/>
          <w:sz w:val="28"/>
          <w:szCs w:val="28"/>
        </w:rPr>
        <w:t>皇氏赛尔生物科技（广西）有限公司、广西悦牧生物科技有限公司、南宁市动物疫病预防控制中心、钦州市动物疫病预防控制中心、防城港市动物疫病预防控制中心、忻城县动物疫病预防控制中心、田东县动物疫病预防控制中心、象州县动物疫病预防控制中心等进行了应用试验，在实际应用中不断总结经验并优化改进，形成了一种完善、成熟的丝状支原体丝状亚种和牛支原体鉴别检测二重TaqMan实时荧光PCR法技术规范。其中主要试验（验证）情况及关键指标来源如下：</w:t>
      </w:r>
    </w:p>
    <w:p w14:paraId="55EF12F6">
      <w:pPr>
        <w:ind w:firstLine="560" w:firstLineChars="200"/>
        <w:rPr>
          <w:rFonts w:ascii="Times New Roman" w:hAnsi="Times New Roman" w:cs="Times New Roman"/>
          <w:sz w:val="28"/>
          <w:szCs w:val="28"/>
        </w:rPr>
      </w:pPr>
      <w:r>
        <w:rPr>
          <w:rFonts w:ascii="Times New Roman" w:hAnsi="Times New Roman" w:cs="Times New Roman"/>
          <w:sz w:val="28"/>
          <w:szCs w:val="28"/>
        </w:rPr>
        <w:t>1、引物和探针</w:t>
      </w:r>
    </w:p>
    <w:p w14:paraId="54E84C31">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根据世界动物卫生组织推荐，从NCBI基因库下载丝状支原体丝状亚种SC型序列和多株牛支原体uvr</w:t>
      </w:r>
      <w:r>
        <w:rPr>
          <w:rFonts w:hint="eastAsia" w:ascii="Times New Roman" w:hAnsi="Times New Roman" w:cs="Times New Roman"/>
          <w:sz w:val="28"/>
          <w:szCs w:val="28"/>
        </w:rPr>
        <w:t>C基因</w:t>
      </w:r>
      <w:r>
        <w:rPr>
          <w:rFonts w:ascii="Times New Roman" w:hAnsi="Times New Roman" w:cs="Times New Roman"/>
          <w:sz w:val="28"/>
          <w:szCs w:val="28"/>
        </w:rPr>
        <w:t>序列。利用Mega软件进行序列分析比对，Oligo7软件针对MmmSC</w:t>
      </w:r>
      <w:r>
        <w:rPr>
          <w:rFonts w:hint="eastAsia" w:ascii="Times New Roman" w:hAnsi="Times New Roman" w:cs="Times New Roman"/>
          <w:sz w:val="28"/>
          <w:szCs w:val="28"/>
        </w:rPr>
        <w:t>基因</w:t>
      </w:r>
      <w:r>
        <w:rPr>
          <w:rFonts w:ascii="Times New Roman" w:hAnsi="Times New Roman" w:cs="Times New Roman"/>
          <w:sz w:val="28"/>
          <w:szCs w:val="28"/>
        </w:rPr>
        <w:t>保守区域和M</w:t>
      </w:r>
      <w:r>
        <w:rPr>
          <w:rFonts w:hint="eastAsia" w:ascii="Times New Roman" w:hAnsi="Times New Roman" w:cs="Times New Roman"/>
          <w:sz w:val="28"/>
          <w:szCs w:val="28"/>
        </w:rPr>
        <w:t>.</w:t>
      </w:r>
      <w:r>
        <w:rPr>
          <w:rFonts w:ascii="Times New Roman" w:hAnsi="Times New Roman" w:cs="Times New Roman"/>
          <w:sz w:val="28"/>
          <w:szCs w:val="28"/>
        </w:rPr>
        <w:t>bovis uvrC保守区域分别设计特异性引物和Taqman荧光探针</w:t>
      </w:r>
      <w:r>
        <w:rPr>
          <w:rFonts w:hint="eastAsia" w:ascii="Times New Roman" w:hAnsi="Times New Roman" w:cs="Times New Roman"/>
          <w:sz w:val="28"/>
          <w:szCs w:val="28"/>
        </w:rPr>
        <w:t>，如表1</w:t>
      </w:r>
      <w:r>
        <w:rPr>
          <w:rFonts w:ascii="Times New Roman" w:hAnsi="Times New Roman" w:cs="Times New Roman"/>
          <w:sz w:val="28"/>
          <w:szCs w:val="28"/>
        </w:rPr>
        <w:t>。</w:t>
      </w:r>
    </w:p>
    <w:p w14:paraId="6279E140">
      <w:pPr>
        <w:spacing w:line="360" w:lineRule="auto"/>
        <w:ind w:firstLine="560" w:firstLineChars="200"/>
        <w:rPr>
          <w:rFonts w:ascii="Times New Roman" w:hAnsi="Times New Roman" w:cs="Times New Roman"/>
          <w:sz w:val="28"/>
          <w:szCs w:val="28"/>
        </w:rPr>
      </w:pPr>
    </w:p>
    <w:tbl>
      <w:tblPr>
        <w:tblStyle w:val="7"/>
        <w:tblW w:w="7000" w:type="dxa"/>
        <w:jc w:val="center"/>
        <w:tblLayout w:type="autofit"/>
        <w:tblCellMar>
          <w:top w:w="0" w:type="dxa"/>
          <w:left w:w="108" w:type="dxa"/>
          <w:bottom w:w="0" w:type="dxa"/>
          <w:right w:w="108" w:type="dxa"/>
        </w:tblCellMar>
      </w:tblPr>
      <w:tblGrid>
        <w:gridCol w:w="1766"/>
        <w:gridCol w:w="5264"/>
      </w:tblGrid>
      <w:tr w14:paraId="63A70F75">
        <w:tblPrEx>
          <w:tblCellMar>
            <w:top w:w="0" w:type="dxa"/>
            <w:left w:w="108" w:type="dxa"/>
            <w:bottom w:w="0" w:type="dxa"/>
            <w:right w:w="108" w:type="dxa"/>
          </w:tblCellMar>
        </w:tblPrEx>
        <w:trPr>
          <w:trHeight w:val="300" w:hRule="atLeast"/>
          <w:jc w:val="center"/>
        </w:trPr>
        <w:tc>
          <w:tcPr>
            <w:tcW w:w="7000" w:type="dxa"/>
            <w:gridSpan w:val="2"/>
            <w:tcBorders>
              <w:top w:val="nil"/>
              <w:left w:val="nil"/>
              <w:bottom w:val="single" w:color="auto" w:sz="4" w:space="0"/>
              <w:right w:val="nil"/>
            </w:tcBorders>
            <w:shd w:val="clear" w:color="auto" w:fill="auto"/>
            <w:noWrap/>
            <w:vAlign w:val="center"/>
          </w:tcPr>
          <w:p w14:paraId="407D7879">
            <w:pPr>
              <w:widowControl/>
              <w:jc w:val="center"/>
              <w:rPr>
                <w:rFonts w:ascii="Times New Roman" w:hAnsi="Times New Roman" w:eastAsia="宋体" w:cs="Times New Roman"/>
                <w:color w:val="000000"/>
                <w:kern w:val="0"/>
                <w:sz w:val="22"/>
              </w:rPr>
            </w:pPr>
            <w:r>
              <w:rPr>
                <w:rFonts w:hint="eastAsia" w:ascii="宋体" w:hAnsi="宋体" w:eastAsia="宋体" w:cs="Times New Roman"/>
                <w:color w:val="000000"/>
                <w:kern w:val="0"/>
                <w:sz w:val="22"/>
              </w:rPr>
              <w:t>表</w:t>
            </w:r>
            <w:r>
              <w:rPr>
                <w:rFonts w:ascii="Times New Roman" w:hAnsi="Times New Roman" w:eastAsia="宋体" w:cs="Times New Roman"/>
                <w:color w:val="000000"/>
                <w:kern w:val="0"/>
                <w:sz w:val="22"/>
              </w:rPr>
              <w:t>1  MmmSC</w:t>
            </w:r>
            <w:r>
              <w:rPr>
                <w:rFonts w:hint="eastAsia" w:ascii="宋体" w:hAnsi="宋体" w:eastAsia="宋体" w:cs="Times New Roman"/>
                <w:color w:val="000000"/>
                <w:kern w:val="0"/>
                <w:sz w:val="22"/>
              </w:rPr>
              <w:t>、</w:t>
            </w:r>
            <w:r>
              <w:rPr>
                <w:rFonts w:ascii="Times New Roman" w:hAnsi="Times New Roman" w:eastAsia="宋体" w:cs="Times New Roman"/>
                <w:color w:val="000000"/>
                <w:kern w:val="0"/>
                <w:sz w:val="22"/>
              </w:rPr>
              <w:t>M</w:t>
            </w:r>
            <w:r>
              <w:rPr>
                <w:rFonts w:hint="eastAsia" w:ascii="Times New Roman" w:hAnsi="Times New Roman" w:eastAsia="宋体" w:cs="Times New Roman"/>
                <w:color w:val="000000"/>
                <w:kern w:val="0"/>
                <w:sz w:val="22"/>
              </w:rPr>
              <w:t>.</w:t>
            </w:r>
            <w:r>
              <w:rPr>
                <w:rFonts w:ascii="Times New Roman" w:hAnsi="Times New Roman" w:eastAsia="宋体" w:cs="Times New Roman"/>
                <w:color w:val="000000"/>
                <w:kern w:val="0"/>
                <w:sz w:val="22"/>
              </w:rPr>
              <w:t>bovis</w:t>
            </w:r>
            <w:r>
              <w:rPr>
                <w:rFonts w:hint="eastAsia" w:ascii="宋体" w:hAnsi="宋体" w:eastAsia="宋体" w:cs="Times New Roman"/>
                <w:color w:val="000000"/>
                <w:kern w:val="0"/>
                <w:sz w:val="22"/>
              </w:rPr>
              <w:t>引物和探针</w:t>
            </w:r>
          </w:p>
        </w:tc>
      </w:tr>
      <w:tr w14:paraId="1D8F4373">
        <w:tblPrEx>
          <w:tblCellMar>
            <w:top w:w="0" w:type="dxa"/>
            <w:left w:w="108" w:type="dxa"/>
            <w:bottom w:w="0" w:type="dxa"/>
            <w:right w:w="108" w:type="dxa"/>
          </w:tblCellMar>
        </w:tblPrEx>
        <w:trPr>
          <w:trHeight w:val="300" w:hRule="atLeast"/>
          <w:jc w:val="center"/>
        </w:trPr>
        <w:tc>
          <w:tcPr>
            <w:tcW w:w="1766" w:type="dxa"/>
            <w:tcBorders>
              <w:top w:val="nil"/>
              <w:left w:val="nil"/>
              <w:bottom w:val="single" w:color="auto" w:sz="4" w:space="0"/>
              <w:right w:val="nil"/>
            </w:tcBorders>
            <w:shd w:val="clear" w:color="auto" w:fill="auto"/>
            <w:noWrap/>
            <w:vAlign w:val="center"/>
          </w:tcPr>
          <w:p w14:paraId="426CE038">
            <w:pPr>
              <w:widowControl/>
              <w:jc w:val="center"/>
              <w:rPr>
                <w:rFonts w:ascii="Times New Roman" w:hAnsi="Times New Roman" w:eastAsia="宋体" w:cs="Times New Roman"/>
                <w:color w:val="000000"/>
                <w:kern w:val="0"/>
                <w:sz w:val="22"/>
              </w:rPr>
            </w:pPr>
            <w:r>
              <w:rPr>
                <w:rFonts w:hint="eastAsia" w:ascii="宋体" w:hAnsi="宋体" w:eastAsia="宋体" w:cs="Times New Roman"/>
                <w:color w:val="000000"/>
                <w:kern w:val="0"/>
                <w:sz w:val="22"/>
              </w:rPr>
              <w:t>名称</w:t>
            </w:r>
          </w:p>
        </w:tc>
        <w:tc>
          <w:tcPr>
            <w:tcW w:w="5234" w:type="dxa"/>
            <w:tcBorders>
              <w:top w:val="nil"/>
              <w:left w:val="nil"/>
              <w:bottom w:val="single" w:color="auto" w:sz="4" w:space="0"/>
              <w:right w:val="nil"/>
            </w:tcBorders>
            <w:shd w:val="clear" w:color="auto" w:fill="auto"/>
            <w:noWrap/>
            <w:vAlign w:val="center"/>
          </w:tcPr>
          <w:p w14:paraId="4BCB5E26">
            <w:pPr>
              <w:widowControl/>
              <w:jc w:val="center"/>
              <w:rPr>
                <w:rFonts w:ascii="Times New Roman" w:hAnsi="Times New Roman" w:eastAsia="宋体" w:cs="Times New Roman"/>
                <w:color w:val="000000"/>
                <w:kern w:val="0"/>
                <w:sz w:val="22"/>
              </w:rPr>
            </w:pPr>
            <w:r>
              <w:rPr>
                <w:rFonts w:hint="eastAsia" w:ascii="宋体" w:hAnsi="宋体" w:eastAsia="宋体" w:cs="Times New Roman"/>
                <w:color w:val="000000"/>
                <w:kern w:val="0"/>
                <w:sz w:val="22"/>
              </w:rPr>
              <w:t>引物序列（</w:t>
            </w:r>
            <w:r>
              <w:rPr>
                <w:rFonts w:ascii="Times New Roman" w:hAnsi="Times New Roman" w:eastAsia="宋体" w:cs="Times New Roman"/>
                <w:color w:val="000000"/>
                <w:kern w:val="0"/>
                <w:sz w:val="22"/>
              </w:rPr>
              <w:t>5'-3’</w:t>
            </w:r>
            <w:r>
              <w:rPr>
                <w:rFonts w:hint="eastAsia" w:ascii="宋体" w:hAnsi="宋体" w:eastAsia="宋体" w:cs="Times New Roman"/>
                <w:color w:val="000000"/>
                <w:kern w:val="0"/>
                <w:sz w:val="22"/>
              </w:rPr>
              <w:t>）</w:t>
            </w:r>
          </w:p>
        </w:tc>
      </w:tr>
      <w:tr w14:paraId="4A174787">
        <w:tblPrEx>
          <w:tblCellMar>
            <w:top w:w="0" w:type="dxa"/>
            <w:left w:w="108" w:type="dxa"/>
            <w:bottom w:w="0" w:type="dxa"/>
            <w:right w:w="108" w:type="dxa"/>
          </w:tblCellMar>
        </w:tblPrEx>
        <w:trPr>
          <w:trHeight w:val="300" w:hRule="atLeast"/>
          <w:jc w:val="center"/>
        </w:trPr>
        <w:tc>
          <w:tcPr>
            <w:tcW w:w="1766" w:type="dxa"/>
            <w:tcBorders>
              <w:top w:val="nil"/>
              <w:left w:val="nil"/>
              <w:bottom w:val="nil"/>
              <w:right w:val="nil"/>
            </w:tcBorders>
            <w:shd w:val="clear" w:color="auto" w:fill="auto"/>
            <w:noWrap/>
            <w:vAlign w:val="center"/>
          </w:tcPr>
          <w:p w14:paraId="4EF05A71">
            <w:pPr>
              <w:widowControl/>
              <w:jc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rPr>
              <w:t>MmmSC/F</w:t>
            </w:r>
          </w:p>
        </w:tc>
        <w:tc>
          <w:tcPr>
            <w:tcW w:w="5234" w:type="dxa"/>
            <w:tcBorders>
              <w:top w:val="nil"/>
              <w:left w:val="nil"/>
              <w:bottom w:val="nil"/>
              <w:right w:val="nil"/>
            </w:tcBorders>
            <w:shd w:val="clear" w:color="auto" w:fill="auto"/>
            <w:noWrap/>
            <w:vAlign w:val="center"/>
          </w:tcPr>
          <w:p w14:paraId="0FBA90DC">
            <w:pPr>
              <w:widowControl/>
              <w:jc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rPr>
              <w:t>ATCCCATATTTTAGAATAAGAGT</w:t>
            </w:r>
          </w:p>
        </w:tc>
      </w:tr>
      <w:tr w14:paraId="5EAE767B">
        <w:tblPrEx>
          <w:tblCellMar>
            <w:top w:w="0" w:type="dxa"/>
            <w:left w:w="108" w:type="dxa"/>
            <w:bottom w:w="0" w:type="dxa"/>
            <w:right w:w="108" w:type="dxa"/>
          </w:tblCellMar>
        </w:tblPrEx>
        <w:trPr>
          <w:trHeight w:val="300" w:hRule="atLeast"/>
          <w:jc w:val="center"/>
        </w:trPr>
        <w:tc>
          <w:tcPr>
            <w:tcW w:w="1766" w:type="dxa"/>
            <w:tcBorders>
              <w:top w:val="nil"/>
              <w:left w:val="nil"/>
              <w:bottom w:val="nil"/>
              <w:right w:val="nil"/>
            </w:tcBorders>
            <w:shd w:val="clear" w:color="auto" w:fill="auto"/>
            <w:noWrap/>
            <w:vAlign w:val="center"/>
          </w:tcPr>
          <w:p w14:paraId="1C5D6903">
            <w:pPr>
              <w:widowControl/>
              <w:jc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rPr>
              <w:t>MmmSC/R</w:t>
            </w:r>
          </w:p>
        </w:tc>
        <w:tc>
          <w:tcPr>
            <w:tcW w:w="5234" w:type="dxa"/>
            <w:tcBorders>
              <w:top w:val="nil"/>
              <w:left w:val="nil"/>
              <w:bottom w:val="nil"/>
              <w:right w:val="nil"/>
            </w:tcBorders>
            <w:shd w:val="clear" w:color="auto" w:fill="auto"/>
            <w:noWrap/>
            <w:vAlign w:val="center"/>
          </w:tcPr>
          <w:p w14:paraId="61DF4793">
            <w:pPr>
              <w:widowControl/>
              <w:jc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rPr>
              <w:t>CAAAATATGAACTAACAAAGATG</w:t>
            </w:r>
          </w:p>
        </w:tc>
      </w:tr>
      <w:tr w14:paraId="4290CCBA">
        <w:tblPrEx>
          <w:tblCellMar>
            <w:top w:w="0" w:type="dxa"/>
            <w:left w:w="108" w:type="dxa"/>
            <w:bottom w:w="0" w:type="dxa"/>
            <w:right w:w="108" w:type="dxa"/>
          </w:tblCellMar>
        </w:tblPrEx>
        <w:trPr>
          <w:trHeight w:val="300" w:hRule="atLeast"/>
          <w:jc w:val="center"/>
        </w:trPr>
        <w:tc>
          <w:tcPr>
            <w:tcW w:w="1766" w:type="dxa"/>
            <w:tcBorders>
              <w:top w:val="nil"/>
              <w:left w:val="nil"/>
              <w:bottom w:val="nil"/>
              <w:right w:val="nil"/>
            </w:tcBorders>
            <w:shd w:val="clear" w:color="auto" w:fill="auto"/>
            <w:noWrap/>
            <w:vAlign w:val="center"/>
          </w:tcPr>
          <w:p w14:paraId="0AD415F7">
            <w:pPr>
              <w:widowControl/>
              <w:jc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rPr>
              <w:t>MmmSC probe</w:t>
            </w:r>
          </w:p>
        </w:tc>
        <w:tc>
          <w:tcPr>
            <w:tcW w:w="5234" w:type="dxa"/>
            <w:tcBorders>
              <w:top w:val="nil"/>
              <w:left w:val="nil"/>
              <w:bottom w:val="nil"/>
              <w:right w:val="nil"/>
            </w:tcBorders>
            <w:shd w:val="clear" w:color="auto" w:fill="auto"/>
            <w:noWrap/>
            <w:vAlign w:val="center"/>
          </w:tcPr>
          <w:p w14:paraId="08783E30">
            <w:pPr>
              <w:widowControl/>
              <w:jc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rPr>
              <w:t>Cy5-ACTAGATATGGGGTTTTCGTAATTTCT-BHQ3</w:t>
            </w:r>
          </w:p>
        </w:tc>
      </w:tr>
      <w:tr w14:paraId="3C935398">
        <w:tblPrEx>
          <w:tblCellMar>
            <w:top w:w="0" w:type="dxa"/>
            <w:left w:w="108" w:type="dxa"/>
            <w:bottom w:w="0" w:type="dxa"/>
            <w:right w:w="108" w:type="dxa"/>
          </w:tblCellMar>
        </w:tblPrEx>
        <w:trPr>
          <w:trHeight w:val="300" w:hRule="atLeast"/>
          <w:jc w:val="center"/>
        </w:trPr>
        <w:tc>
          <w:tcPr>
            <w:tcW w:w="1766" w:type="dxa"/>
            <w:tcBorders>
              <w:top w:val="nil"/>
              <w:left w:val="nil"/>
              <w:bottom w:val="nil"/>
              <w:right w:val="nil"/>
            </w:tcBorders>
            <w:shd w:val="clear" w:color="auto" w:fill="auto"/>
            <w:noWrap/>
            <w:vAlign w:val="center"/>
          </w:tcPr>
          <w:p w14:paraId="5FFB6CF1">
            <w:pPr>
              <w:widowControl/>
              <w:jc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rPr>
              <w:t>M.bovis/F</w:t>
            </w:r>
          </w:p>
        </w:tc>
        <w:tc>
          <w:tcPr>
            <w:tcW w:w="5234" w:type="dxa"/>
            <w:tcBorders>
              <w:top w:val="nil"/>
              <w:left w:val="nil"/>
              <w:bottom w:val="nil"/>
              <w:right w:val="nil"/>
            </w:tcBorders>
            <w:shd w:val="clear" w:color="auto" w:fill="auto"/>
            <w:noWrap/>
            <w:vAlign w:val="center"/>
          </w:tcPr>
          <w:p w14:paraId="2176E5C4">
            <w:pPr>
              <w:widowControl/>
              <w:jc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rPr>
              <w:t>ATCGCTATGGAATATTAATCA</w:t>
            </w:r>
          </w:p>
        </w:tc>
      </w:tr>
      <w:tr w14:paraId="320508B6">
        <w:tblPrEx>
          <w:tblCellMar>
            <w:top w:w="0" w:type="dxa"/>
            <w:left w:w="108" w:type="dxa"/>
            <w:bottom w:w="0" w:type="dxa"/>
            <w:right w:w="108" w:type="dxa"/>
          </w:tblCellMar>
        </w:tblPrEx>
        <w:trPr>
          <w:trHeight w:val="300" w:hRule="atLeast"/>
          <w:jc w:val="center"/>
        </w:trPr>
        <w:tc>
          <w:tcPr>
            <w:tcW w:w="1766" w:type="dxa"/>
            <w:tcBorders>
              <w:top w:val="nil"/>
              <w:left w:val="nil"/>
              <w:bottom w:val="nil"/>
              <w:right w:val="nil"/>
            </w:tcBorders>
            <w:shd w:val="clear" w:color="auto" w:fill="auto"/>
            <w:noWrap/>
            <w:vAlign w:val="center"/>
          </w:tcPr>
          <w:p w14:paraId="3C87D971">
            <w:pPr>
              <w:widowControl/>
              <w:jc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rPr>
              <w:t>M.bovis/R</w:t>
            </w:r>
          </w:p>
        </w:tc>
        <w:tc>
          <w:tcPr>
            <w:tcW w:w="5234" w:type="dxa"/>
            <w:tcBorders>
              <w:top w:val="nil"/>
              <w:left w:val="nil"/>
              <w:bottom w:val="nil"/>
              <w:right w:val="nil"/>
            </w:tcBorders>
            <w:shd w:val="clear" w:color="auto" w:fill="auto"/>
            <w:noWrap/>
            <w:vAlign w:val="center"/>
          </w:tcPr>
          <w:p w14:paraId="2A832950">
            <w:pPr>
              <w:widowControl/>
              <w:jc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rPr>
              <w:t>GTTTAAAAGTTCTTCCTGTAC</w:t>
            </w:r>
          </w:p>
        </w:tc>
      </w:tr>
      <w:tr w14:paraId="5930F511">
        <w:tblPrEx>
          <w:tblCellMar>
            <w:top w:w="0" w:type="dxa"/>
            <w:left w:w="108" w:type="dxa"/>
            <w:bottom w:w="0" w:type="dxa"/>
            <w:right w:w="108" w:type="dxa"/>
          </w:tblCellMar>
        </w:tblPrEx>
        <w:trPr>
          <w:trHeight w:val="300" w:hRule="atLeast"/>
          <w:jc w:val="center"/>
        </w:trPr>
        <w:tc>
          <w:tcPr>
            <w:tcW w:w="1766" w:type="dxa"/>
            <w:tcBorders>
              <w:top w:val="nil"/>
              <w:left w:val="nil"/>
              <w:bottom w:val="single" w:color="auto" w:sz="4" w:space="0"/>
              <w:right w:val="nil"/>
            </w:tcBorders>
            <w:shd w:val="clear" w:color="auto" w:fill="auto"/>
            <w:noWrap/>
            <w:vAlign w:val="center"/>
          </w:tcPr>
          <w:p w14:paraId="4BDD6211">
            <w:pPr>
              <w:widowControl/>
              <w:jc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rPr>
              <w:t>M.bovis probe</w:t>
            </w:r>
          </w:p>
        </w:tc>
        <w:tc>
          <w:tcPr>
            <w:tcW w:w="5234" w:type="dxa"/>
            <w:tcBorders>
              <w:top w:val="nil"/>
              <w:left w:val="nil"/>
              <w:bottom w:val="single" w:color="auto" w:sz="4" w:space="0"/>
              <w:right w:val="nil"/>
            </w:tcBorders>
            <w:shd w:val="clear" w:color="auto" w:fill="auto"/>
            <w:noWrap/>
            <w:vAlign w:val="center"/>
          </w:tcPr>
          <w:p w14:paraId="7AE2A147">
            <w:pPr>
              <w:widowControl/>
              <w:jc w:val="center"/>
              <w:rPr>
                <w:rFonts w:ascii="Times New Roman" w:hAnsi="Times New Roman" w:eastAsia="宋体" w:cs="Times New Roman"/>
                <w:color w:val="000000"/>
                <w:kern w:val="0"/>
                <w:sz w:val="22"/>
              </w:rPr>
            </w:pPr>
            <w:r>
              <w:rPr>
                <w:rFonts w:ascii="Times New Roman" w:hAnsi="Times New Roman" w:eastAsia="宋体" w:cs="Times New Roman"/>
                <w:color w:val="000000"/>
                <w:kern w:val="0"/>
                <w:sz w:val="22"/>
              </w:rPr>
              <w:t>FAM-ATTCCACTAGGTTTAAGTGTTGATG-BHQ1</w:t>
            </w:r>
          </w:p>
        </w:tc>
      </w:tr>
    </w:tbl>
    <w:p w14:paraId="78CCE01F">
      <w:pPr>
        <w:spacing w:line="360" w:lineRule="auto"/>
        <w:ind w:firstLine="560" w:firstLineChars="200"/>
        <w:rPr>
          <w:rFonts w:ascii="Times New Roman" w:hAnsi="Times New Roman" w:cs="Times New Roman"/>
          <w:sz w:val="28"/>
          <w:szCs w:val="28"/>
        </w:rPr>
      </w:pPr>
    </w:p>
    <w:p w14:paraId="7C118379">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2、阳性质控品序列的选择及合成</w:t>
      </w:r>
    </w:p>
    <w:p w14:paraId="593795D8">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阳性质控在Taqman荧光PCR试验中起到关键的对照作用。</w:t>
      </w:r>
      <w:r>
        <w:rPr>
          <w:rFonts w:hint="eastAsia" w:ascii="Times New Roman" w:hAnsi="Times New Roman" w:cs="Times New Roman"/>
          <w:sz w:val="28"/>
          <w:szCs w:val="28"/>
        </w:rPr>
        <w:t>2011年，OIE第79届年会通过决议，认可我国为无牛传染性胸膜肺炎（</w:t>
      </w:r>
      <w:r>
        <w:rPr>
          <w:rFonts w:ascii="Times New Roman" w:hAnsi="Times New Roman" w:cs="Times New Roman"/>
          <w:sz w:val="28"/>
          <w:szCs w:val="28"/>
        </w:rPr>
        <w:t>牛肺疫</w:t>
      </w:r>
      <w:r>
        <w:rPr>
          <w:rFonts w:hint="eastAsia" w:ascii="Times New Roman" w:hAnsi="Times New Roman" w:cs="Times New Roman"/>
          <w:sz w:val="28"/>
          <w:szCs w:val="28"/>
        </w:rPr>
        <w:t>）国家</w:t>
      </w:r>
      <w:r>
        <w:rPr>
          <w:rFonts w:ascii="Times New Roman" w:hAnsi="Times New Roman" w:cs="Times New Roman"/>
          <w:sz w:val="28"/>
          <w:szCs w:val="28"/>
        </w:rPr>
        <w:t>，因此目前很难在国内获得Mmm</w:t>
      </w:r>
      <w:r>
        <w:rPr>
          <w:rFonts w:hint="eastAsia" w:ascii="Times New Roman" w:hAnsi="Times New Roman" w:cs="Times New Roman"/>
          <w:sz w:val="28"/>
          <w:szCs w:val="28"/>
        </w:rPr>
        <w:t>SC</w:t>
      </w:r>
      <w:r>
        <w:rPr>
          <w:rFonts w:ascii="Times New Roman" w:hAnsi="Times New Roman" w:cs="Times New Roman"/>
          <w:sz w:val="28"/>
          <w:szCs w:val="28"/>
        </w:rPr>
        <w:t>的田间阳性样品和</w:t>
      </w:r>
      <w:r>
        <w:rPr>
          <w:rFonts w:hint="eastAsia" w:ascii="Times New Roman" w:hAnsi="Times New Roman" w:cs="Times New Roman"/>
          <w:sz w:val="28"/>
          <w:szCs w:val="28"/>
        </w:rPr>
        <w:t>/或</w:t>
      </w:r>
      <w:r>
        <w:rPr>
          <w:rFonts w:ascii="Times New Roman" w:hAnsi="Times New Roman" w:cs="Times New Roman"/>
          <w:sz w:val="28"/>
          <w:szCs w:val="28"/>
        </w:rPr>
        <w:t>培养物</w:t>
      </w:r>
      <w:r>
        <w:rPr>
          <w:rFonts w:hint="eastAsia" w:ascii="Times New Roman" w:hAnsi="Times New Roman" w:cs="Times New Roman"/>
          <w:sz w:val="28"/>
          <w:szCs w:val="28"/>
        </w:rPr>
        <w:t>来提取获得阳性质控</w:t>
      </w:r>
      <w:r>
        <w:rPr>
          <w:rFonts w:ascii="Times New Roman" w:hAnsi="Times New Roman" w:cs="Times New Roman"/>
          <w:sz w:val="28"/>
          <w:szCs w:val="28"/>
        </w:rPr>
        <w:t>。本标准选择了丝状支原体丝状亚种Mmm SC基因保守片段（第7-281位，对应Sequence ID:BX293980.2 443115-443389nt）、牛支原体M</w:t>
      </w:r>
      <w:r>
        <w:rPr>
          <w:rFonts w:hint="eastAsia" w:ascii="Times New Roman" w:hAnsi="Times New Roman" w:cs="Times New Roman"/>
          <w:sz w:val="28"/>
          <w:szCs w:val="28"/>
        </w:rPr>
        <w:t>.</w:t>
      </w:r>
      <w:r>
        <w:rPr>
          <w:rFonts w:ascii="Times New Roman" w:hAnsi="Times New Roman" w:cs="Times New Roman"/>
          <w:sz w:val="28"/>
          <w:szCs w:val="28"/>
        </w:rPr>
        <w:t>bovis uvr</w:t>
      </w:r>
      <w:r>
        <w:rPr>
          <w:rFonts w:hint="eastAsia" w:ascii="Times New Roman" w:hAnsi="Times New Roman" w:cs="Times New Roman"/>
          <w:sz w:val="28"/>
          <w:szCs w:val="28"/>
        </w:rPr>
        <w:t>C</w:t>
      </w:r>
      <w:r>
        <w:rPr>
          <w:rFonts w:ascii="Times New Roman" w:hAnsi="Times New Roman" w:cs="Times New Roman"/>
          <w:sz w:val="28"/>
          <w:szCs w:val="28"/>
        </w:rPr>
        <w:t>基因保守片段（第288-488位，对应Sequence ID:CP022589.1 757922-758121nt）基因序列以及BamH</w:t>
      </w:r>
      <w:r>
        <w:rPr>
          <w:rFonts w:ascii="宋体" w:hAnsi="Times New Roman" w:eastAsia="宋体" w:cs="Times New Roman"/>
          <w:sz w:val="28"/>
          <w:szCs w:val="28"/>
        </w:rPr>
        <w:t>Ⅰ</w:t>
      </w:r>
      <w:r>
        <w:rPr>
          <w:rFonts w:ascii="Times New Roman" w:hAnsi="Times New Roman" w:cs="Times New Roman"/>
          <w:sz w:val="28"/>
          <w:szCs w:val="28"/>
        </w:rPr>
        <w:t>、Sal</w:t>
      </w:r>
      <w:r>
        <w:rPr>
          <w:rFonts w:ascii="宋体" w:hAnsi="Times New Roman" w:eastAsia="宋体" w:cs="Times New Roman"/>
          <w:sz w:val="28"/>
          <w:szCs w:val="28"/>
        </w:rPr>
        <w:t>Ⅰ</w:t>
      </w:r>
      <w:r>
        <w:rPr>
          <w:rFonts w:ascii="Times New Roman" w:hAnsi="Times New Roman" w:cs="Times New Roman"/>
          <w:sz w:val="28"/>
          <w:szCs w:val="28"/>
        </w:rPr>
        <w:t>和HindIII酶切位点序列组合成阳性质控品。组合后的基因序列如下：</w:t>
      </w:r>
    </w:p>
    <w:p w14:paraId="49A08A57">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GGATCCctgattatgatgacagtggtcatattctaaatctttaatttttattagaagaacataaaatatattgagtttattgtaataagatattcttaaaaaattttcttatttttaattttaaatcccatattttagaataagagtactagatatggggttttcgtaatttcttaattatttattcAgatctaaaatatcatctttgttagttcatattttgattttttctttattaatgtattctataagattaaatcatattactagaacagaagtatGTCGACtaatttttgctacagttttgttctatcgctatggaatattaatcaacaaggttaatttaacaattccactaggtttaagtgttgatgaatTcacttagagttttctttgaacaattctatgaggataaaatactgccagataatttaattgtacaggaagaacttttaaactttgatctaaacctatcaagtgaatataaaAAGCTT</w:t>
      </w:r>
    </w:p>
    <w:p w14:paraId="3FCA2948">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由于Taqman荧光PCR方法具有很高的敏感度，极易造成假阳性，为鉴别荧光PCR的阳性结果是否为阳性模板造成的污染，本标准对原始序列进行了两处改造。第一处改造是将上述基因序列第188位从T碱基人工突变为A碱基，产生了一个原有序列中不存在的Bgl</w:t>
      </w:r>
      <w:r>
        <w:rPr>
          <w:rFonts w:ascii="宋体" w:hAnsi="Times New Roman" w:eastAsia="宋体" w:cs="Times New Roman"/>
          <w:sz w:val="28"/>
          <w:szCs w:val="28"/>
        </w:rPr>
        <w:t>Ⅱ</w:t>
      </w:r>
      <w:r>
        <w:rPr>
          <w:rFonts w:ascii="Times New Roman" w:hAnsi="Times New Roman" w:cs="Times New Roman"/>
          <w:sz w:val="28"/>
          <w:szCs w:val="28"/>
        </w:rPr>
        <w:t>酶切位点，从而在不影响引物和探针工作的同时，可利用Bgl</w:t>
      </w:r>
      <w:r>
        <w:rPr>
          <w:rFonts w:ascii="宋体" w:hAnsi="Times New Roman" w:eastAsia="宋体" w:cs="Times New Roman"/>
          <w:sz w:val="28"/>
          <w:szCs w:val="28"/>
        </w:rPr>
        <w:t>Ⅱ</w:t>
      </w:r>
      <w:r>
        <w:rPr>
          <w:rFonts w:ascii="Times New Roman" w:hAnsi="Times New Roman" w:cs="Times New Roman"/>
          <w:sz w:val="28"/>
          <w:szCs w:val="28"/>
        </w:rPr>
        <w:t xml:space="preserve">限制性内切酶对Mmm荧光PCR产物进行酶切鉴定。若荧光PCR产物能够被消化成大小为64 bp和35 bp的两个片段，则表明该荧光PCR产物是被阳性模板污染产生。第二处改造是在上述基因序列的第378位人工插入一个T碱基，产生了一个原有序列中不存在的EcoR </w:t>
      </w:r>
      <w:r>
        <w:rPr>
          <w:rFonts w:ascii="宋体" w:hAnsi="Times New Roman" w:eastAsia="宋体" w:cs="Times New Roman"/>
          <w:sz w:val="28"/>
          <w:szCs w:val="28"/>
        </w:rPr>
        <w:t>Ⅰ</w:t>
      </w:r>
      <w:r>
        <w:rPr>
          <w:rFonts w:ascii="Times New Roman" w:hAnsi="Times New Roman" w:cs="Times New Roman"/>
          <w:sz w:val="28"/>
          <w:szCs w:val="28"/>
        </w:rPr>
        <w:t>酶切位点，可利用EcoR</w:t>
      </w:r>
      <w:r>
        <w:rPr>
          <w:rFonts w:ascii="宋体" w:hAnsi="Times New Roman" w:eastAsia="宋体" w:cs="Times New Roman"/>
          <w:sz w:val="28"/>
          <w:szCs w:val="28"/>
        </w:rPr>
        <w:t>Ⅰ</w:t>
      </w:r>
      <w:r>
        <w:rPr>
          <w:rFonts w:ascii="Times New Roman" w:hAnsi="Times New Roman" w:cs="Times New Roman"/>
          <w:sz w:val="28"/>
          <w:szCs w:val="28"/>
        </w:rPr>
        <w:t>对M bovis 荧光PCR产物进行酶切鉴定，若荧光PCR产物被消化成大小为63 bp和84 bp的两个片段，则表明该荧光PCR产物是被阳性质控品污染产生。</w:t>
      </w:r>
    </w:p>
    <w:p w14:paraId="07357439">
      <w:pPr>
        <w:ind w:firstLine="420" w:firstLineChars="200"/>
        <w:jc w:val="center"/>
        <w:rPr>
          <w:rFonts w:ascii="Times New Roman" w:hAnsi="Times New Roman" w:cs="Times New Roman"/>
        </w:rPr>
      </w:pPr>
      <w:r>
        <w:rPr>
          <w:rFonts w:ascii="Times New Roman" w:hAnsi="Times New Roman" w:cs="Times New Roman"/>
        </w:rPr>
        <w:drawing>
          <wp:inline distT="0" distB="0" distL="114300" distR="114300">
            <wp:extent cx="1496060" cy="1915160"/>
            <wp:effectExtent l="0" t="0" r="0" b="2540"/>
            <wp:docPr id="7"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图片2"/>
                    <pic:cNvPicPr>
                      <a:picLocks noChangeAspect="1"/>
                    </pic:cNvPicPr>
                  </pic:nvPicPr>
                  <pic:blipFill>
                    <a:blip r:embed="rId4" cstate="print"/>
                    <a:stretch>
                      <a:fillRect/>
                    </a:stretch>
                  </pic:blipFill>
                  <pic:spPr>
                    <a:xfrm>
                      <a:off x="0" y="0"/>
                      <a:ext cx="1496060" cy="1915160"/>
                    </a:xfrm>
                    <a:prstGeom prst="rect">
                      <a:avLst/>
                    </a:prstGeom>
                  </pic:spPr>
                </pic:pic>
              </a:graphicData>
            </a:graphic>
          </wp:inline>
        </w:drawing>
      </w:r>
    </w:p>
    <w:p w14:paraId="0867F5FE">
      <w:pPr>
        <w:ind w:firstLine="420" w:firstLineChars="200"/>
        <w:jc w:val="center"/>
        <w:rPr>
          <w:rFonts w:ascii="Times New Roman" w:hAnsi="Times New Roman" w:cs="Times New Roman"/>
        </w:rPr>
      </w:pPr>
    </w:p>
    <w:p w14:paraId="11B55434">
      <w:pPr>
        <w:spacing w:line="360" w:lineRule="auto"/>
        <w:ind w:firstLine="482" w:firstLineChars="200"/>
        <w:jc w:val="center"/>
        <w:rPr>
          <w:rFonts w:ascii="Times New Roman" w:hAnsi="Times New Roman" w:eastAsia="宋体" w:cs="Times New Roman"/>
          <w:sz w:val="24"/>
          <w:szCs w:val="24"/>
        </w:rPr>
      </w:pPr>
      <w:r>
        <w:rPr>
          <w:rFonts w:ascii="Times New Roman" w:hAnsi="Times New Roman" w:eastAsia="宋体" w:cs="Times New Roman"/>
          <w:b/>
          <w:bCs/>
          <w:sz w:val="24"/>
          <w:szCs w:val="24"/>
        </w:rPr>
        <w:t>图1：</w:t>
      </w:r>
      <w:r>
        <w:rPr>
          <w:rFonts w:ascii="Times New Roman" w:hAnsi="Times New Roman" w:eastAsia="宋体" w:cs="Times New Roman"/>
          <w:sz w:val="24"/>
          <w:szCs w:val="24"/>
        </w:rPr>
        <w:t>本标准阳性质粒制备电泳结果图。</w:t>
      </w:r>
    </w:p>
    <w:p w14:paraId="022731EB">
      <w:pPr>
        <w:spacing w:line="360" w:lineRule="auto"/>
        <w:ind w:firstLine="480" w:firstLineChars="200"/>
        <w:jc w:val="center"/>
        <w:rPr>
          <w:rFonts w:ascii="Times New Roman" w:hAnsi="Times New Roman" w:cs="Times New Roman"/>
          <w:sz w:val="28"/>
          <w:szCs w:val="28"/>
        </w:rPr>
      </w:pPr>
      <w:r>
        <w:rPr>
          <w:rFonts w:ascii="Times New Roman" w:hAnsi="Times New Roman" w:eastAsia="宋体" w:cs="Times New Roman"/>
          <w:sz w:val="24"/>
          <w:szCs w:val="24"/>
        </w:rPr>
        <w:t>1:：2000bp Marker； 2：Mmm； 3：M.bovis。</w:t>
      </w:r>
    </w:p>
    <w:p w14:paraId="70E2DDD9">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3、反应条件优化和标准曲线建立</w:t>
      </w:r>
    </w:p>
    <w:p w14:paraId="31EBE76C">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（1）反应条件优化</w:t>
      </w:r>
    </w:p>
    <w:p w14:paraId="05254756">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将筛选出的2对引物和探针在同一反应体系中进行</w:t>
      </w:r>
      <w:r>
        <w:rPr>
          <w:rFonts w:hint="eastAsia" w:ascii="Times New Roman" w:hAnsi="Times New Roman" w:cs="Times New Roman"/>
          <w:sz w:val="28"/>
          <w:szCs w:val="28"/>
        </w:rPr>
        <w:t>二重Taqman实时</w:t>
      </w:r>
      <w:r>
        <w:rPr>
          <w:rFonts w:ascii="Times New Roman" w:hAnsi="Times New Roman" w:cs="Times New Roman"/>
          <w:sz w:val="28"/>
          <w:szCs w:val="28"/>
        </w:rPr>
        <w:t>荧光</w:t>
      </w:r>
      <w:r>
        <w:rPr>
          <w:rFonts w:hint="eastAsia" w:ascii="Times New Roman" w:hAnsi="Times New Roman" w:cs="Times New Roman"/>
          <w:sz w:val="28"/>
          <w:szCs w:val="28"/>
        </w:rPr>
        <w:t>PCR</w:t>
      </w:r>
      <w:r>
        <w:rPr>
          <w:rFonts w:ascii="Times New Roman" w:hAnsi="Times New Roman" w:cs="Times New Roman"/>
          <w:sz w:val="28"/>
          <w:szCs w:val="28"/>
        </w:rPr>
        <w:t>扩增。采用方阵实验分别对引物终浓度（0.10-0.25pmol/μL）、探针终浓度（0.10-0.25pmol/μL）及退火温度（56-61℃）进行筛选优化。</w:t>
      </w:r>
    </w:p>
    <w:p w14:paraId="68B47693">
      <w:pPr>
        <w:spacing w:line="360" w:lineRule="auto"/>
        <w:ind w:firstLine="560" w:firstLineChars="200"/>
        <w:rPr>
          <w:rFonts w:ascii="Times New Roman" w:hAnsi="Times New Roman" w:eastAsia="宋体" w:cs="Times New Roman"/>
          <w:sz w:val="28"/>
          <w:szCs w:val="28"/>
        </w:rPr>
      </w:pPr>
      <w:r>
        <w:rPr>
          <w:rFonts w:ascii="Times New Roman" w:hAnsi="Times New Roman" w:cs="Times New Roman"/>
          <w:sz w:val="28"/>
          <w:szCs w:val="28"/>
        </w:rPr>
        <w:t>在优化退火温度、引物和探针浓度后，确定了</w:t>
      </w:r>
      <w:r>
        <w:rPr>
          <w:rFonts w:hint="eastAsia" w:ascii="Times New Roman" w:hAnsi="Times New Roman" w:cs="Times New Roman"/>
          <w:sz w:val="28"/>
          <w:szCs w:val="28"/>
        </w:rPr>
        <w:t>二重Taqman实时</w:t>
      </w:r>
      <w:r>
        <w:rPr>
          <w:rFonts w:ascii="Times New Roman" w:hAnsi="Times New Roman" w:cs="Times New Roman"/>
          <w:sz w:val="28"/>
          <w:szCs w:val="28"/>
        </w:rPr>
        <w:t>荧光</w:t>
      </w:r>
      <w:r>
        <w:rPr>
          <w:rFonts w:hint="eastAsia" w:ascii="Times New Roman" w:hAnsi="Times New Roman" w:cs="Times New Roman"/>
          <w:sz w:val="28"/>
          <w:szCs w:val="28"/>
        </w:rPr>
        <w:t>PCR</w:t>
      </w:r>
      <w:r>
        <w:rPr>
          <w:rFonts w:ascii="Times New Roman" w:hAnsi="Times New Roman" w:cs="Times New Roman"/>
          <w:sz w:val="28"/>
          <w:szCs w:val="28"/>
        </w:rPr>
        <w:t>方法的最佳反应体系为：</w:t>
      </w:r>
      <w:r>
        <w:rPr>
          <w:rFonts w:ascii="Times New Roman" w:hAnsi="Times New Roman" w:eastAsia="宋体" w:cs="Times New Roman"/>
          <w:sz w:val="28"/>
          <w:szCs w:val="28"/>
        </w:rPr>
        <w:t>反应液每管20μL，其中2×Premix Ex Taq（Probe qPCR）为10μL，10μmol/L的MmmSC/F和MmmSC/R引物各0.7μL，10μmol/L的MmmSC probe为0.5μL，10μmol/L的M.bovis/F和M.bovis/R各0.8μL，10μmol/L的M.bovis probe为0.9μL, DNA模板为2μL，ddH</w:t>
      </w:r>
      <w:r>
        <w:rPr>
          <w:rFonts w:ascii="Times New Roman" w:hAnsi="Times New Roman" w:eastAsia="宋体" w:cs="Times New Roman"/>
          <w:sz w:val="28"/>
          <w:szCs w:val="28"/>
          <w:vertAlign w:val="subscript"/>
        </w:rPr>
        <w:t>2</w:t>
      </w:r>
      <w:r>
        <w:rPr>
          <w:rFonts w:ascii="Times New Roman" w:hAnsi="Times New Roman" w:eastAsia="宋体" w:cs="Times New Roman"/>
          <w:sz w:val="28"/>
          <w:szCs w:val="28"/>
        </w:rPr>
        <w:t>O补足20μL。</w:t>
      </w:r>
    </w:p>
    <w:p w14:paraId="40946F6C">
      <w:pPr>
        <w:spacing w:line="360" w:lineRule="auto"/>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（2）二重Taqman实时荧光PCR标准曲线建立和灵敏性试验</w:t>
      </w:r>
    </w:p>
    <w:p w14:paraId="6239C58C">
      <w:pPr>
        <w:spacing w:line="360" w:lineRule="auto"/>
        <w:ind w:firstLine="570"/>
        <w:rPr>
          <w:rFonts w:ascii="Times New Roman" w:hAnsi="Times New Roman" w:cs="Times New Roman"/>
          <w:bCs/>
          <w:sz w:val="28"/>
          <w:szCs w:val="28"/>
        </w:rPr>
      </w:pPr>
      <w:r>
        <w:rPr>
          <w:rFonts w:ascii="Times New Roman" w:hAnsi="Times New Roman" w:cs="Times New Roman"/>
          <w:sz w:val="28"/>
          <w:szCs w:val="28"/>
        </w:rPr>
        <w:t>根据公式将质粒标准品浓度换算成拷贝数，质粒拷贝数=质粒浓度×10</w:t>
      </w:r>
      <w:r>
        <w:rPr>
          <w:rFonts w:ascii="Times New Roman" w:hAnsi="Times New Roman" w:cs="Times New Roman"/>
          <w:sz w:val="28"/>
          <w:szCs w:val="28"/>
          <w:vertAlign w:val="superscript"/>
        </w:rPr>
        <w:t>-9</w:t>
      </w:r>
      <w:r>
        <w:rPr>
          <w:rFonts w:ascii="Times New Roman" w:hAnsi="Times New Roman" w:cs="Times New Roman"/>
          <w:sz w:val="28"/>
          <w:szCs w:val="28"/>
        </w:rPr>
        <w:t>×6.02×10</w:t>
      </w:r>
      <w:r>
        <w:rPr>
          <w:rFonts w:ascii="Times New Roman" w:hAnsi="Times New Roman" w:cs="Times New Roman"/>
          <w:sz w:val="28"/>
          <w:szCs w:val="28"/>
          <w:vertAlign w:val="superscript"/>
        </w:rPr>
        <w:t>23</w:t>
      </w:r>
      <w:r>
        <w:rPr>
          <w:rFonts w:ascii="Times New Roman" w:hAnsi="Times New Roman" w:cs="Times New Roman"/>
          <w:sz w:val="28"/>
          <w:szCs w:val="28"/>
        </w:rPr>
        <w:t>/（660×质粒长度）。将质粒标准品作为阳性质控品，进行梯度稀释，梯度</w:t>
      </w:r>
      <w:r>
        <w:rPr>
          <w:rFonts w:ascii="Times New Roman" w:hAnsi="Times New Roman" w:cs="Times New Roman"/>
          <w:bCs/>
          <w:sz w:val="28"/>
          <w:szCs w:val="28"/>
        </w:rPr>
        <w:t>稀释后的阳性质控品（11.495×10</w:t>
      </w:r>
      <w:r>
        <w:rPr>
          <w:rFonts w:ascii="Times New Roman" w:hAnsi="Times New Roman" w:cs="Times New Roman"/>
          <w:bCs/>
          <w:sz w:val="28"/>
          <w:szCs w:val="28"/>
          <w:vertAlign w:val="superscript"/>
        </w:rPr>
        <w:t>9</w:t>
      </w:r>
      <w:r>
        <w:rPr>
          <w:rFonts w:ascii="Times New Roman" w:hAnsi="Times New Roman" w:cs="Times New Roman"/>
          <w:bCs/>
          <w:sz w:val="28"/>
          <w:szCs w:val="28"/>
        </w:rPr>
        <w:t xml:space="preserve"> copies/μL~ 11.495×10</w:t>
      </w:r>
      <w:r>
        <w:rPr>
          <w:rFonts w:ascii="Times New Roman" w:hAnsi="Times New Roman" w:cs="Times New Roman"/>
          <w:bCs/>
          <w:sz w:val="28"/>
          <w:szCs w:val="28"/>
          <w:vertAlign w:val="superscript"/>
        </w:rPr>
        <w:t>-1</w:t>
      </w:r>
      <w:r>
        <w:rPr>
          <w:rFonts w:ascii="Times New Roman" w:hAnsi="Times New Roman" w:cs="Times New Roman"/>
          <w:bCs/>
          <w:sz w:val="28"/>
          <w:szCs w:val="28"/>
        </w:rPr>
        <w:t>copies/μL）作为标准品DNA模板，在相同条件下进行二重Taqman实时荧光PCR扩增反应，以标准品DNA溶液拷贝数的对数值为横坐标，标准品Ct值为纵坐标，绘制标准曲线。结果显示，2种标准曲线的Ct值和稀释滴度在11.495×10</w:t>
      </w:r>
      <w:r>
        <w:rPr>
          <w:rFonts w:ascii="Times New Roman" w:hAnsi="Times New Roman" w:cs="Times New Roman"/>
          <w:bCs/>
          <w:sz w:val="28"/>
          <w:szCs w:val="28"/>
          <w:vertAlign w:val="superscript"/>
        </w:rPr>
        <w:t>9</w:t>
      </w:r>
      <w:r>
        <w:rPr>
          <w:rFonts w:ascii="Times New Roman" w:hAnsi="Times New Roman" w:cs="Times New Roman"/>
          <w:bCs/>
          <w:sz w:val="28"/>
          <w:szCs w:val="28"/>
        </w:rPr>
        <w:t xml:space="preserve"> copies/μL~ 11.495×10</w:t>
      </w:r>
      <w:r>
        <w:rPr>
          <w:rFonts w:ascii="Times New Roman" w:hAnsi="Times New Roman" w:cs="Times New Roman"/>
          <w:bCs/>
          <w:sz w:val="28"/>
          <w:szCs w:val="28"/>
          <w:vertAlign w:val="superscript"/>
        </w:rPr>
        <w:t>-1</w:t>
      </w:r>
      <w:r>
        <w:rPr>
          <w:rFonts w:ascii="Times New Roman" w:hAnsi="Times New Roman" w:cs="Times New Roman"/>
          <w:bCs/>
          <w:sz w:val="28"/>
          <w:szCs w:val="28"/>
        </w:rPr>
        <w:t>copies/μL拷贝数浓度范围内具有良好的线性关系，且阴性对照未出现特异性扩增曲线。结果说明，采用本方法丝状支原体丝状亚种的最低检出限为工作标准品10，灵敏度为11.495 copies/μL，采用工作标准品1-9绘制标准曲线，标准曲线的线性方程为y=-3.419x+38.561，R</w:t>
      </w:r>
      <w:r>
        <w:rPr>
          <w:rFonts w:ascii="Times New Roman" w:hAnsi="Times New Roman" w:cs="Times New Roman"/>
          <w:bCs/>
          <w:sz w:val="28"/>
          <w:szCs w:val="28"/>
          <w:vertAlign w:val="superscript"/>
        </w:rPr>
        <w:t>2</w:t>
      </w:r>
      <w:r>
        <w:rPr>
          <w:rFonts w:ascii="Times New Roman" w:hAnsi="Times New Roman" w:cs="Times New Roman"/>
          <w:bCs/>
          <w:sz w:val="28"/>
          <w:szCs w:val="28"/>
        </w:rPr>
        <w:t>=0.999，扩增效率E=96.091%；采用本方法牛支原体最低检出限为工作标准品10，灵敏度为11.495</w:t>
      </w:r>
      <w:r>
        <w:rPr>
          <w:rFonts w:hint="eastAsia" w:ascii="Times New Roman" w:hAnsi="Times New Roman" w:cs="Times New Roman"/>
          <w:bCs/>
          <w:sz w:val="28"/>
          <w:szCs w:val="28"/>
        </w:rPr>
        <w:t xml:space="preserve"> </w:t>
      </w:r>
      <w:r>
        <w:rPr>
          <w:rFonts w:ascii="Times New Roman" w:hAnsi="Times New Roman" w:cs="Times New Roman"/>
          <w:bCs/>
          <w:sz w:val="28"/>
          <w:szCs w:val="28"/>
        </w:rPr>
        <w:t>copies/μL，采用工作标准品1-9绘制标准曲线，标准曲线的线性方程为y=-3.404x+38.636，R</w:t>
      </w:r>
      <w:r>
        <w:rPr>
          <w:rFonts w:ascii="Times New Roman" w:hAnsi="Times New Roman" w:cs="Times New Roman"/>
          <w:bCs/>
          <w:sz w:val="28"/>
          <w:szCs w:val="28"/>
          <w:vertAlign w:val="superscript"/>
        </w:rPr>
        <w:t>2</w:t>
      </w:r>
      <w:r>
        <w:rPr>
          <w:rFonts w:ascii="Times New Roman" w:hAnsi="Times New Roman" w:cs="Times New Roman"/>
          <w:bCs/>
          <w:sz w:val="28"/>
          <w:szCs w:val="28"/>
        </w:rPr>
        <w:t>=1，扩增效率E=96.701%，这表明建立的</w:t>
      </w:r>
      <w:r>
        <w:rPr>
          <w:rFonts w:hint="eastAsia" w:ascii="Times New Roman" w:hAnsi="Times New Roman" w:cs="Times New Roman"/>
          <w:bCs/>
          <w:sz w:val="28"/>
          <w:szCs w:val="28"/>
        </w:rPr>
        <w:t>二重Taqman实时</w:t>
      </w:r>
      <w:r>
        <w:rPr>
          <w:rFonts w:ascii="Times New Roman" w:hAnsi="Times New Roman" w:cs="Times New Roman"/>
          <w:bCs/>
          <w:sz w:val="28"/>
          <w:szCs w:val="28"/>
        </w:rPr>
        <w:t>荧光</w:t>
      </w:r>
      <w:r>
        <w:rPr>
          <w:rFonts w:hint="eastAsia" w:ascii="Times New Roman" w:hAnsi="Times New Roman" w:cs="Times New Roman"/>
          <w:bCs/>
          <w:sz w:val="28"/>
          <w:szCs w:val="28"/>
        </w:rPr>
        <w:t>PCR</w:t>
      </w:r>
      <w:r>
        <w:rPr>
          <w:rFonts w:ascii="Times New Roman" w:hAnsi="Times New Roman" w:cs="Times New Roman"/>
          <w:bCs/>
          <w:sz w:val="28"/>
          <w:szCs w:val="28"/>
        </w:rPr>
        <w:t>对丝状支原体丝状亚种和牛支原体的检测具有良好的敏感性。</w:t>
      </w:r>
    </w:p>
    <w:p w14:paraId="65BAD988">
      <w:pPr>
        <w:spacing w:line="360" w:lineRule="auto"/>
        <w:ind w:firstLine="570"/>
        <w:rPr>
          <w:rFonts w:ascii="Times New Roman" w:hAnsi="Times New Roman" w:cs="Times New Roman"/>
          <w:bCs/>
          <w:sz w:val="28"/>
          <w:szCs w:val="28"/>
        </w:rPr>
      </w:pPr>
    </w:p>
    <w:p w14:paraId="63E9B701">
      <w:pPr>
        <w:widowControl/>
        <w:jc w:val="center"/>
        <w:rPr>
          <w:rFonts w:ascii="Times New Roman" w:hAnsi="Times New Roman" w:eastAsia="宋体" w:cs="Times New Roman"/>
          <w:sz w:val="24"/>
        </w:rPr>
      </w:pPr>
      <w:r>
        <w:rPr>
          <w:rFonts w:ascii="Times New Roman" w:hAnsi="Times New Roman" w:cs="Times New Roman"/>
        </w:rPr>
        <w:drawing>
          <wp:inline distT="0" distB="0" distL="0" distR="0">
            <wp:extent cx="5274310" cy="2767330"/>
            <wp:effectExtent l="19050" t="0" r="0" b="0"/>
            <wp:docPr id="13" name="对象 13"/>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0" y="0"/>
                      <a:ext cx="8820472" cy="4629150"/>
                      <a:chOff x="323528" y="1412776"/>
                      <a:chExt cx="8820472" cy="4629150"/>
                    </a:xfrm>
                  </a:grpSpPr>
                  <a:grpSp>
                    <a:nvGrpSpPr>
                      <a:cNvPr id="18" name="组合 17"/>
                      <a:cNvGrpSpPr/>
                    </a:nvGrpSpPr>
                    <a:grpSpPr>
                      <a:xfrm>
                        <a:off x="323528" y="1412776"/>
                        <a:ext cx="8820472" cy="4629150"/>
                        <a:chOff x="323528" y="1412776"/>
                        <a:chExt cx="8820472" cy="4629150"/>
                      </a:xfrm>
                    </a:grpSpPr>
                    <a:grpSp>
                      <a:nvGrpSpPr>
                        <a:cNvPr id="3" name="组合 15"/>
                        <a:cNvGrpSpPr/>
                      </a:nvGrpSpPr>
                      <a:grpSpPr>
                        <a:xfrm>
                          <a:off x="323528" y="1412776"/>
                          <a:ext cx="8515350" cy="4629150"/>
                          <a:chOff x="323528" y="1412776"/>
                          <a:chExt cx="8515350" cy="4629150"/>
                        </a:xfrm>
                      </a:grpSpPr>
                      <a:pic>
                        <a:nvPicPr>
                          <a:cNvPr id="4" name="Picture 1" descr="C:\Users\HP\AppData\Roaming\Tencent\Users\328917323\QQ\WinTemp\RichOle\%1$$M1]}2@IVDRYTH}V9BZA.png"/>
                          <a:cNvPicPr>
                            <a:picLocks noChangeAspect="1" noChangeArrowheads="1"/>
                          </a:cNvPicPr>
                        </a:nvPicPr>
                        <a:blipFill>
                          <a:blip r:embed="rId5" cstate="print"/>
                          <a:srcRect/>
                          <a:stretch>
                            <a:fillRect/>
                          </a:stretch>
                        </a:blipFill>
                        <a:spPr bwMode="auto">
                          <a:xfrm>
                            <a:off x="323528" y="1412776"/>
                            <a:ext cx="8515350" cy="4629150"/>
                          </a:xfrm>
                          <a:prstGeom prst="rect">
                            <a:avLst/>
                          </a:prstGeom>
                          <a:noFill/>
                        </a:spPr>
                      </a:pic>
                      <a:sp>
                        <a:nvSpPr>
                          <a:cNvPr id="5" name="TextBox 4"/>
                          <a:cNvSpPr txBox="1"/>
                        </a:nvSpPr>
                        <a:spPr>
                          <a:xfrm>
                            <a:off x="3059832" y="4725144"/>
                            <a:ext cx="288032"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1</a:t>
                              </a:r>
                              <a:endParaRPr lang="zh-CN" altLang="en-US" sz="1200" dirty="0"/>
                            </a:p>
                          </a:txBody>
                          <a:useSpRect/>
                        </a:txSp>
                      </a:sp>
                      <a:sp>
                        <a:nvSpPr>
                          <a:cNvPr id="6" name="TextBox 5"/>
                          <a:cNvSpPr txBox="1"/>
                        </a:nvSpPr>
                        <a:spPr>
                          <a:xfrm>
                            <a:off x="3707904" y="4736177"/>
                            <a:ext cx="288032"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2</a:t>
                              </a:r>
                              <a:endParaRPr lang="zh-CN" altLang="en-US" sz="1200" dirty="0"/>
                            </a:p>
                          </a:txBody>
                          <a:useSpRect/>
                        </a:txSp>
                      </a:sp>
                      <a:sp>
                        <a:nvSpPr>
                          <a:cNvPr id="7" name="TextBox 6"/>
                          <a:cNvSpPr txBox="1"/>
                        </a:nvSpPr>
                        <a:spPr>
                          <a:xfrm>
                            <a:off x="4283968" y="4736177"/>
                            <a:ext cx="288032"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3</a:t>
                              </a:r>
                              <a:endParaRPr lang="zh-CN" altLang="en-US" sz="1200" dirty="0"/>
                            </a:p>
                          </a:txBody>
                          <a:useSpRect/>
                        </a:txSp>
                      </a:sp>
                      <a:sp>
                        <a:nvSpPr>
                          <a:cNvPr id="8" name="TextBox 7"/>
                          <a:cNvSpPr txBox="1"/>
                        </a:nvSpPr>
                        <a:spPr>
                          <a:xfrm>
                            <a:off x="5004048" y="4797152"/>
                            <a:ext cx="288032"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4</a:t>
                              </a:r>
                              <a:endParaRPr lang="zh-CN" altLang="en-US" sz="1200" dirty="0"/>
                            </a:p>
                          </a:txBody>
                          <a:useSpRect/>
                        </a:txSp>
                      </a:sp>
                      <a:sp>
                        <a:nvSpPr>
                          <a:cNvPr id="9" name="TextBox 8"/>
                          <a:cNvSpPr txBox="1"/>
                        </a:nvSpPr>
                        <a:spPr>
                          <a:xfrm>
                            <a:off x="5724128" y="4736177"/>
                            <a:ext cx="288032"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5</a:t>
                              </a:r>
                              <a:endParaRPr lang="zh-CN" altLang="en-US" sz="1200" dirty="0"/>
                            </a:p>
                          </a:txBody>
                          <a:useSpRect/>
                        </a:txSp>
                      </a:sp>
                      <a:sp>
                        <a:nvSpPr>
                          <a:cNvPr id="10" name="TextBox 9"/>
                          <a:cNvSpPr txBox="1"/>
                        </a:nvSpPr>
                        <a:spPr>
                          <a:xfrm>
                            <a:off x="6444208" y="4808185"/>
                            <a:ext cx="288032"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6</a:t>
                              </a:r>
                              <a:endParaRPr lang="zh-CN" altLang="en-US" sz="1200" dirty="0"/>
                            </a:p>
                          </a:txBody>
                          <a:useSpRect/>
                        </a:txSp>
                      </a:sp>
                      <a:sp>
                        <a:nvSpPr>
                          <a:cNvPr id="11" name="TextBox 10"/>
                          <a:cNvSpPr txBox="1"/>
                        </a:nvSpPr>
                        <a:spPr>
                          <a:xfrm>
                            <a:off x="7092280" y="4869160"/>
                            <a:ext cx="288032"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7</a:t>
                              </a:r>
                              <a:endParaRPr lang="zh-CN" altLang="en-US" sz="1200" dirty="0"/>
                            </a:p>
                          </a:txBody>
                          <a:useSpRect/>
                        </a:txSp>
                      </a:sp>
                      <a:sp>
                        <a:nvSpPr>
                          <a:cNvPr id="12" name="TextBox 11"/>
                          <a:cNvSpPr txBox="1"/>
                        </a:nvSpPr>
                        <a:spPr>
                          <a:xfrm>
                            <a:off x="7668344" y="4877544"/>
                            <a:ext cx="288032"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8</a:t>
                              </a:r>
                              <a:endParaRPr lang="zh-CN" altLang="en-US" sz="1200" dirty="0"/>
                            </a:p>
                          </a:txBody>
                          <a:useSpRect/>
                        </a:txSp>
                      </a:sp>
                      <a:sp>
                        <a:nvSpPr>
                          <a:cNvPr id="13" name="TextBox 12"/>
                          <a:cNvSpPr txBox="1"/>
                        </a:nvSpPr>
                        <a:spPr>
                          <a:xfrm>
                            <a:off x="8100392" y="4952201"/>
                            <a:ext cx="288032"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9</a:t>
                              </a:r>
                              <a:endParaRPr lang="zh-CN" altLang="en-US" sz="1200" dirty="0"/>
                            </a:p>
                          </a:txBody>
                          <a:useSpRect/>
                        </a:txSp>
                      </a:sp>
                      <a:sp>
                        <a:nvSpPr>
                          <a:cNvPr id="14" name="TextBox 13"/>
                          <a:cNvSpPr txBox="1"/>
                        </a:nvSpPr>
                        <a:spPr>
                          <a:xfrm>
                            <a:off x="8460432" y="4941168"/>
                            <a:ext cx="360040"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10</a:t>
                              </a:r>
                              <a:endParaRPr lang="zh-CN" altLang="en-US" sz="1200" dirty="0"/>
                            </a:p>
                          </a:txBody>
                          <a:useSpRect/>
                        </a:txSp>
                      </a:sp>
                    </a:grpSp>
                    <a:sp>
                      <a:nvSpPr>
                        <a:cNvPr id="17" name="TextBox 16"/>
                        <a:cNvSpPr txBox="1"/>
                      </a:nvSpPr>
                      <a:spPr>
                        <a:xfrm>
                          <a:off x="8532440" y="5240233"/>
                          <a:ext cx="611560"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11-12</a:t>
                            </a:r>
                            <a:endParaRPr lang="zh-CN" altLang="en-US" sz="1200" dirty="0"/>
                          </a:p>
                        </a:txBody>
                        <a:useSpRect/>
                      </a:txSp>
                    </a:sp>
                  </a:grpSp>
                </lc:lockedCanvas>
              </a:graphicData>
            </a:graphic>
          </wp:inline>
        </w:drawing>
      </w:r>
    </w:p>
    <w:p w14:paraId="4E1062D5">
      <w:pPr>
        <w:spacing w:line="360" w:lineRule="auto"/>
        <w:ind w:firstLine="570"/>
        <w:rPr>
          <w:rFonts w:ascii="Times New Roman" w:hAnsi="Times New Roman" w:eastAsia="宋体" w:cs="Times New Roman"/>
          <w:sz w:val="24"/>
          <w:szCs w:val="24"/>
        </w:rPr>
      </w:pPr>
      <w:r>
        <w:rPr>
          <w:rFonts w:ascii="Times New Roman" w:hAnsi="Times New Roman" w:eastAsia="宋体" w:cs="Times New Roman"/>
          <w:sz w:val="24"/>
          <w:szCs w:val="24"/>
        </w:rPr>
        <w:t>图2A：</w:t>
      </w:r>
      <w:r>
        <w:rPr>
          <w:rFonts w:hint="eastAsia" w:ascii="Times New Roman" w:hAnsi="Times New Roman" w:eastAsia="宋体" w:cs="Times New Roman"/>
          <w:sz w:val="24"/>
          <w:szCs w:val="24"/>
        </w:rPr>
        <w:t>二重Taqman实时</w:t>
      </w:r>
      <w:r>
        <w:rPr>
          <w:rFonts w:ascii="Times New Roman" w:hAnsi="Times New Roman" w:eastAsia="宋体" w:cs="Times New Roman"/>
          <w:sz w:val="24"/>
          <w:szCs w:val="24"/>
        </w:rPr>
        <w:t>荧光</w:t>
      </w:r>
      <w:r>
        <w:rPr>
          <w:rFonts w:hint="eastAsia" w:ascii="Times New Roman" w:hAnsi="Times New Roman" w:eastAsia="宋体" w:cs="Times New Roman"/>
          <w:sz w:val="24"/>
          <w:szCs w:val="24"/>
        </w:rPr>
        <w:t>PCR</w:t>
      </w:r>
      <w:r>
        <w:rPr>
          <w:rFonts w:ascii="Times New Roman" w:hAnsi="Times New Roman" w:eastAsia="宋体" w:cs="Times New Roman"/>
          <w:sz w:val="24"/>
          <w:szCs w:val="24"/>
        </w:rPr>
        <w:t>灵敏度试验结果图（MmmSC），1：工作标准品1；2：工作标准品1；3：工作标准品3；4：工作标准品4；5：工作标准品5；6：工作标准品6；7：工作标准品7；8：工作标准品8；9：工作标准品9；10：工作标准品10；11：工作标准品11；12：H</w:t>
      </w:r>
      <w:r>
        <w:rPr>
          <w:rFonts w:ascii="Times New Roman" w:hAnsi="Times New Roman" w:eastAsia="宋体" w:cs="Times New Roman"/>
          <w:sz w:val="24"/>
          <w:szCs w:val="24"/>
          <w:vertAlign w:val="subscript"/>
        </w:rPr>
        <w:t>2</w:t>
      </w:r>
      <w:r>
        <w:rPr>
          <w:rFonts w:ascii="Times New Roman" w:hAnsi="Times New Roman" w:eastAsia="宋体" w:cs="Times New Roman"/>
          <w:sz w:val="24"/>
          <w:szCs w:val="24"/>
        </w:rPr>
        <w:t>O。</w:t>
      </w:r>
    </w:p>
    <w:p w14:paraId="37861791">
      <w:pPr>
        <w:spacing w:line="360" w:lineRule="auto"/>
        <w:ind w:firstLine="570"/>
        <w:rPr>
          <w:rFonts w:ascii="Times New Roman" w:hAnsi="Times New Roman" w:eastAsia="宋体" w:cs="Times New Roman"/>
          <w:sz w:val="24"/>
          <w:szCs w:val="24"/>
        </w:rPr>
      </w:pPr>
    </w:p>
    <w:p w14:paraId="21844409">
      <w:pPr>
        <w:widowControl/>
        <w:jc w:val="center"/>
        <w:rPr>
          <w:rFonts w:ascii="Times New Roman" w:hAnsi="Times New Roman" w:eastAsia="宋体" w:cs="Times New Roman"/>
          <w:sz w:val="24"/>
        </w:rPr>
      </w:pPr>
      <w:r>
        <w:rPr>
          <w:rFonts w:ascii="Times New Roman" w:hAnsi="Times New Roman" w:cs="Times New Roman"/>
        </w:rPr>
        <w:drawing>
          <wp:inline distT="0" distB="0" distL="0" distR="0">
            <wp:extent cx="5274310" cy="2636520"/>
            <wp:effectExtent l="19050" t="0" r="0" b="0"/>
            <wp:docPr id="14" name="对象 14"/>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0" y="0"/>
                      <a:ext cx="9145016" cy="4572000"/>
                      <a:chOff x="179512" y="1772816"/>
                      <a:chExt cx="9145016" cy="4572000"/>
                    </a:xfrm>
                  </a:grpSpPr>
                  <a:grpSp>
                    <a:nvGrpSpPr>
                      <a:cNvPr id="18" name="组合 17"/>
                      <a:cNvGrpSpPr/>
                    </a:nvGrpSpPr>
                    <a:grpSpPr>
                      <a:xfrm>
                        <a:off x="179512" y="1772816"/>
                        <a:ext cx="9145016" cy="4572000"/>
                        <a:chOff x="179512" y="1772816"/>
                        <a:chExt cx="9145016" cy="4572000"/>
                      </a:xfrm>
                    </a:grpSpPr>
                    <a:grpSp>
                      <a:nvGrpSpPr>
                        <a:cNvPr id="3" name="组合 15"/>
                        <a:cNvGrpSpPr/>
                      </a:nvGrpSpPr>
                      <a:grpSpPr>
                        <a:xfrm>
                          <a:off x="179512" y="1772816"/>
                          <a:ext cx="8964488" cy="4572000"/>
                          <a:chOff x="179512" y="1772816"/>
                          <a:chExt cx="8964488" cy="4572000"/>
                        </a:xfrm>
                      </a:grpSpPr>
                      <a:pic>
                        <a:nvPicPr>
                          <a:cNvPr id="14337" name="Picture 1" descr="C:\Users\HP\AppData\Roaming\Tencent\Users\328917323\QQ\WinTemp\RichOle\~48FL2A`M2YZ~A0_`89J{2O.png"/>
                          <a:cNvPicPr>
                            <a:picLocks noChangeAspect="1" noChangeArrowheads="1"/>
                          </a:cNvPicPr>
                        </a:nvPicPr>
                        <a:blipFill>
                          <a:blip r:embed="rId6" cstate="print"/>
                          <a:srcRect/>
                          <a:stretch>
                            <a:fillRect/>
                          </a:stretch>
                        </a:blipFill>
                        <a:spPr bwMode="auto">
                          <a:xfrm>
                            <a:off x="179512" y="1772816"/>
                            <a:ext cx="8677275" cy="4572000"/>
                          </a:xfrm>
                          <a:prstGeom prst="rect">
                            <a:avLst/>
                          </a:prstGeom>
                          <a:noFill/>
                        </a:spPr>
                      </a:pic>
                      <a:sp>
                        <a:nvSpPr>
                          <a:cNvPr id="6" name="TextBox 5"/>
                          <a:cNvSpPr txBox="1"/>
                        </a:nvSpPr>
                        <a:spPr>
                          <a:xfrm>
                            <a:off x="3419872" y="5168225"/>
                            <a:ext cx="288032"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1</a:t>
                              </a:r>
                              <a:endParaRPr lang="zh-CN" altLang="en-US" sz="1200" dirty="0"/>
                            </a:p>
                          </a:txBody>
                          <a:useSpRect/>
                        </a:txSp>
                      </a:sp>
                      <a:sp>
                        <a:nvSpPr>
                          <a:cNvPr id="7" name="TextBox 6"/>
                          <a:cNvSpPr txBox="1"/>
                        </a:nvSpPr>
                        <a:spPr>
                          <a:xfrm>
                            <a:off x="3995936" y="5168225"/>
                            <a:ext cx="288032"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2</a:t>
                              </a:r>
                              <a:endParaRPr lang="zh-CN" altLang="en-US" sz="1200" dirty="0"/>
                            </a:p>
                          </a:txBody>
                          <a:useSpRect/>
                        </a:txSp>
                      </a:sp>
                      <a:sp>
                        <a:nvSpPr>
                          <a:cNvPr id="8" name="TextBox 7"/>
                          <a:cNvSpPr txBox="1"/>
                        </a:nvSpPr>
                        <a:spPr>
                          <a:xfrm>
                            <a:off x="4499992" y="5168225"/>
                            <a:ext cx="288032"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3</a:t>
                              </a:r>
                              <a:endParaRPr lang="zh-CN" altLang="en-US" sz="1200" dirty="0"/>
                            </a:p>
                          </a:txBody>
                          <a:useSpRect/>
                        </a:txSp>
                      </a:sp>
                      <a:sp>
                        <a:nvSpPr>
                          <a:cNvPr id="9" name="TextBox 8"/>
                          <a:cNvSpPr txBox="1"/>
                        </a:nvSpPr>
                        <a:spPr>
                          <a:xfrm>
                            <a:off x="5076056" y="5168225"/>
                            <a:ext cx="288032"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4</a:t>
                              </a:r>
                              <a:endParaRPr lang="zh-CN" altLang="en-US" sz="1200" dirty="0"/>
                            </a:p>
                          </a:txBody>
                          <a:useSpRect/>
                        </a:txSp>
                      </a:sp>
                      <a:sp>
                        <a:nvSpPr>
                          <a:cNvPr id="10" name="TextBox 9"/>
                          <a:cNvSpPr txBox="1"/>
                        </a:nvSpPr>
                        <a:spPr>
                          <a:xfrm>
                            <a:off x="5796136" y="5157192"/>
                            <a:ext cx="288032"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5</a:t>
                              </a:r>
                              <a:endParaRPr lang="zh-CN" altLang="en-US" sz="1200" dirty="0"/>
                            </a:p>
                          </a:txBody>
                          <a:useSpRect/>
                        </a:txSp>
                      </a:sp>
                      <a:sp>
                        <a:nvSpPr>
                          <a:cNvPr id="11" name="TextBox 10"/>
                          <a:cNvSpPr txBox="1"/>
                        </a:nvSpPr>
                        <a:spPr>
                          <a:xfrm>
                            <a:off x="6516216" y="5157192"/>
                            <a:ext cx="288032"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6</a:t>
                              </a:r>
                              <a:endParaRPr lang="zh-CN" altLang="en-US" sz="1200" dirty="0"/>
                            </a:p>
                          </a:txBody>
                          <a:useSpRect/>
                        </a:txSp>
                      </a:sp>
                      <a:sp>
                        <a:nvSpPr>
                          <a:cNvPr id="12" name="TextBox 11"/>
                          <a:cNvSpPr txBox="1"/>
                        </a:nvSpPr>
                        <a:spPr>
                          <a:xfrm>
                            <a:off x="7236296" y="5168225"/>
                            <a:ext cx="288032"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7</a:t>
                              </a:r>
                              <a:endParaRPr lang="zh-CN" altLang="en-US" sz="1200" dirty="0"/>
                            </a:p>
                          </a:txBody>
                          <a:useSpRect/>
                        </a:txSp>
                      </a:sp>
                      <a:sp>
                        <a:nvSpPr>
                          <a:cNvPr id="13" name="TextBox 12"/>
                          <a:cNvSpPr txBox="1"/>
                        </a:nvSpPr>
                        <a:spPr>
                          <a:xfrm>
                            <a:off x="7884368" y="5240233"/>
                            <a:ext cx="288032"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8</a:t>
                              </a:r>
                              <a:endParaRPr lang="zh-CN" altLang="en-US" sz="1200" dirty="0"/>
                            </a:p>
                          </a:txBody>
                          <a:useSpRect/>
                        </a:txSp>
                      </a:sp>
                      <a:sp>
                        <a:nvSpPr>
                          <a:cNvPr id="14" name="TextBox 13"/>
                          <a:cNvSpPr txBox="1"/>
                        </a:nvSpPr>
                        <a:spPr>
                          <a:xfrm>
                            <a:off x="8244408" y="5240233"/>
                            <a:ext cx="288032"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9</a:t>
                              </a:r>
                              <a:endParaRPr lang="zh-CN" altLang="en-US" sz="1200" dirty="0"/>
                            </a:p>
                          </a:txBody>
                          <a:useSpRect/>
                        </a:txSp>
                      </a:sp>
                      <a:sp>
                        <a:nvSpPr>
                          <a:cNvPr id="15" name="TextBox 14"/>
                          <a:cNvSpPr txBox="1"/>
                        </a:nvSpPr>
                        <a:spPr>
                          <a:xfrm>
                            <a:off x="8604448" y="5240233"/>
                            <a:ext cx="539552"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10</a:t>
                              </a:r>
                              <a:endParaRPr lang="zh-CN" altLang="en-US" sz="1200" dirty="0"/>
                            </a:p>
                          </a:txBody>
                          <a:useSpRect/>
                        </a:txSp>
                      </a:sp>
                    </a:grpSp>
                    <a:sp>
                      <a:nvSpPr>
                        <a:cNvPr id="17" name="TextBox 16"/>
                        <a:cNvSpPr txBox="1"/>
                      </a:nvSpPr>
                      <a:spPr>
                        <a:xfrm>
                          <a:off x="8604448" y="5528265"/>
                          <a:ext cx="720080"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11-12</a:t>
                            </a:r>
                            <a:endParaRPr lang="zh-CN" altLang="en-US" sz="1200" dirty="0"/>
                          </a:p>
                        </a:txBody>
                        <a:useSpRect/>
                      </a:txSp>
                    </a:sp>
                  </a:grpSp>
                </lc:lockedCanvas>
              </a:graphicData>
            </a:graphic>
          </wp:inline>
        </w:drawing>
      </w:r>
    </w:p>
    <w:p w14:paraId="02941BAD">
      <w:pPr>
        <w:spacing w:line="360" w:lineRule="auto"/>
        <w:ind w:firstLine="570"/>
        <w:rPr>
          <w:rFonts w:ascii="Times New Roman" w:hAnsi="Times New Roman" w:eastAsia="宋体" w:cs="Times New Roman"/>
          <w:sz w:val="24"/>
          <w:szCs w:val="24"/>
        </w:rPr>
      </w:pPr>
      <w:r>
        <w:rPr>
          <w:rFonts w:ascii="Times New Roman" w:hAnsi="Times New Roman" w:eastAsia="宋体" w:cs="Times New Roman"/>
          <w:sz w:val="24"/>
          <w:szCs w:val="24"/>
        </w:rPr>
        <w:t>图2B：</w:t>
      </w:r>
      <w:r>
        <w:rPr>
          <w:rFonts w:hint="eastAsia" w:ascii="Times New Roman" w:hAnsi="Times New Roman" w:eastAsia="宋体" w:cs="Times New Roman"/>
          <w:sz w:val="24"/>
          <w:szCs w:val="24"/>
        </w:rPr>
        <w:t>二重Taqman实时</w:t>
      </w:r>
      <w:r>
        <w:rPr>
          <w:rFonts w:ascii="Times New Roman" w:hAnsi="Times New Roman" w:eastAsia="宋体" w:cs="Times New Roman"/>
          <w:sz w:val="24"/>
          <w:szCs w:val="24"/>
        </w:rPr>
        <w:t>荧光</w:t>
      </w:r>
      <w:r>
        <w:rPr>
          <w:rFonts w:hint="eastAsia" w:ascii="Times New Roman" w:hAnsi="Times New Roman" w:eastAsia="宋体" w:cs="Times New Roman"/>
          <w:sz w:val="24"/>
          <w:szCs w:val="24"/>
        </w:rPr>
        <w:t>PCR</w:t>
      </w:r>
      <w:r>
        <w:rPr>
          <w:rFonts w:ascii="Times New Roman" w:hAnsi="Times New Roman" w:eastAsia="宋体" w:cs="Times New Roman"/>
          <w:sz w:val="24"/>
          <w:szCs w:val="24"/>
        </w:rPr>
        <w:t>灵敏度试验结果图（M.bovis），1：工作标准品1；2：工作标准品1；3：工作标准品3；4：工作标准品4；5：工作标准品5；6：工作标准品6；7：工作标准品7；8：工作标准品8；9：工作标准品9；10：工作标准品10；11：工作标准品11；12：H2O。</w:t>
      </w:r>
    </w:p>
    <w:p w14:paraId="56BDBEC5">
      <w:pPr>
        <w:spacing w:line="360" w:lineRule="auto"/>
        <w:ind w:firstLine="570"/>
        <w:rPr>
          <w:rFonts w:ascii="Times New Roman" w:hAnsi="Times New Roman" w:cs="Times New Roman"/>
          <w:sz w:val="28"/>
          <w:szCs w:val="28"/>
        </w:rPr>
      </w:pPr>
    </w:p>
    <w:p w14:paraId="7D81D2DE">
      <w:pPr>
        <w:widowControl/>
        <w:jc w:val="center"/>
        <w:rPr>
          <w:rFonts w:ascii="Times New Roman" w:hAnsi="Times New Roman" w:eastAsia="宋体" w:cs="Times New Roman"/>
          <w:sz w:val="24"/>
        </w:rPr>
      </w:pPr>
      <w:r>
        <w:rPr>
          <w:rFonts w:ascii="Times New Roman" w:hAnsi="Times New Roman" w:cs="Times New Roman"/>
        </w:rPr>
        <w:drawing>
          <wp:inline distT="0" distB="0" distL="0" distR="0">
            <wp:extent cx="5274310" cy="2873375"/>
            <wp:effectExtent l="19050" t="0" r="2540" b="0"/>
            <wp:docPr id="3" name="对象 4"/>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0" y="0"/>
                      <a:ext cx="8286750" cy="4514850"/>
                      <a:chOff x="539552" y="1218406"/>
                      <a:chExt cx="8286750" cy="4514850"/>
                    </a:xfrm>
                  </a:grpSpPr>
                  <a:grpSp>
                    <a:nvGrpSpPr>
                      <a:cNvPr id="15" name="组合 14"/>
                      <a:cNvGrpSpPr/>
                    </a:nvGrpSpPr>
                    <a:grpSpPr>
                      <a:xfrm>
                        <a:off x="539552" y="1218406"/>
                        <a:ext cx="8286750" cy="4514850"/>
                        <a:chOff x="539552" y="1218406"/>
                        <a:chExt cx="8286750" cy="4514850"/>
                      </a:xfrm>
                    </a:grpSpPr>
                    <a:pic>
                      <a:nvPicPr>
                        <a:cNvPr id="16385" name="Picture 1" descr="C:\Users\HP\AppData\Roaming\Tencent\Users\328917323\QQ\WinTemp\RichOle\BFS(BNE%Y{Q}WETA7MJ@IV7.png"/>
                        <a:cNvPicPr>
                          <a:picLocks noChangeAspect="1" noChangeArrowheads="1"/>
                        </a:cNvPicPr>
                      </a:nvPicPr>
                      <a:blipFill>
                        <a:blip r:embed="rId7" cstate="print"/>
                        <a:srcRect/>
                        <a:stretch>
                          <a:fillRect/>
                        </a:stretch>
                      </a:blipFill>
                      <a:spPr bwMode="auto">
                        <a:xfrm>
                          <a:off x="539552" y="1218406"/>
                          <a:ext cx="8286750" cy="4514850"/>
                        </a:xfrm>
                        <a:prstGeom prst="rect">
                          <a:avLst/>
                        </a:prstGeom>
                        <a:noFill/>
                      </a:spPr>
                    </a:pic>
                    <a:sp>
                      <a:nvSpPr>
                        <a:cNvPr id="6" name="TextBox 5"/>
                        <a:cNvSpPr txBox="1"/>
                      </a:nvSpPr>
                      <a:spPr>
                        <a:xfrm>
                          <a:off x="7740352" y="4880193"/>
                          <a:ext cx="14401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1</a:t>
                            </a:r>
                            <a:endParaRPr lang="zh-CN" altLang="en-US" sz="1200" dirty="0"/>
                          </a:p>
                        </a:txBody>
                        <a:useSpRect/>
                      </a:txSp>
                    </a:sp>
                    <a:sp>
                      <a:nvSpPr>
                        <a:cNvPr id="7" name="TextBox 6"/>
                        <a:cNvSpPr txBox="1"/>
                      </a:nvSpPr>
                      <a:spPr>
                        <a:xfrm>
                          <a:off x="7092280" y="4509120"/>
                          <a:ext cx="14401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2</a:t>
                            </a:r>
                            <a:endParaRPr lang="zh-CN" altLang="en-US" sz="1200" dirty="0"/>
                          </a:p>
                        </a:txBody>
                        <a:useSpRect/>
                      </a:txSp>
                    </a:sp>
                    <a:sp>
                      <a:nvSpPr>
                        <a:cNvPr id="8" name="TextBox 7"/>
                        <a:cNvSpPr txBox="1"/>
                      </a:nvSpPr>
                      <a:spPr>
                        <a:xfrm>
                          <a:off x="6372200" y="4077072"/>
                          <a:ext cx="14401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3</a:t>
                            </a:r>
                            <a:endParaRPr lang="zh-CN" altLang="en-US" sz="1200" dirty="0"/>
                          </a:p>
                        </a:txBody>
                        <a:useSpRect/>
                      </a:txSp>
                    </a:sp>
                    <a:sp>
                      <a:nvSpPr>
                        <a:cNvPr id="9" name="TextBox 8"/>
                        <a:cNvSpPr txBox="1"/>
                      </a:nvSpPr>
                      <a:spPr>
                        <a:xfrm>
                          <a:off x="5580112" y="3645024"/>
                          <a:ext cx="14401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4</a:t>
                            </a:r>
                            <a:endParaRPr lang="zh-CN" altLang="en-US" sz="1200" dirty="0"/>
                          </a:p>
                        </a:txBody>
                        <a:useSpRect/>
                      </a:txSp>
                    </a:sp>
                    <a:sp>
                      <a:nvSpPr>
                        <a:cNvPr id="10" name="TextBox 9"/>
                        <a:cNvSpPr txBox="1"/>
                      </a:nvSpPr>
                      <a:spPr>
                        <a:xfrm>
                          <a:off x="4788024" y="3212976"/>
                          <a:ext cx="14401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5</a:t>
                            </a:r>
                            <a:endParaRPr lang="zh-CN" altLang="en-US" sz="1200" dirty="0"/>
                          </a:p>
                        </a:txBody>
                        <a:useSpRect/>
                      </a:txSp>
                    </a:sp>
                    <a:sp>
                      <a:nvSpPr>
                        <a:cNvPr id="11" name="TextBox 10"/>
                        <a:cNvSpPr txBox="1"/>
                      </a:nvSpPr>
                      <a:spPr>
                        <a:xfrm>
                          <a:off x="4067944" y="2780928"/>
                          <a:ext cx="14401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6</a:t>
                            </a:r>
                            <a:endParaRPr lang="zh-CN" altLang="en-US" sz="1200" dirty="0"/>
                          </a:p>
                        </a:txBody>
                        <a:useSpRect/>
                      </a:txSp>
                    </a:sp>
                    <a:sp>
                      <a:nvSpPr>
                        <a:cNvPr id="12" name="TextBox 11"/>
                        <a:cNvSpPr txBox="1"/>
                      </a:nvSpPr>
                      <a:spPr>
                        <a:xfrm>
                          <a:off x="3347864" y="2359913"/>
                          <a:ext cx="14401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7</a:t>
                            </a:r>
                            <a:endParaRPr lang="zh-CN" altLang="en-US" sz="1200" dirty="0"/>
                          </a:p>
                        </a:txBody>
                        <a:useSpRect/>
                      </a:txSp>
                    </a:sp>
                    <a:sp>
                      <a:nvSpPr>
                        <a:cNvPr id="13" name="TextBox 12"/>
                        <a:cNvSpPr txBox="1"/>
                      </a:nvSpPr>
                      <a:spPr>
                        <a:xfrm>
                          <a:off x="2627784" y="1844824"/>
                          <a:ext cx="288032"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8</a:t>
                            </a:r>
                            <a:endParaRPr lang="zh-CN" altLang="en-US" sz="1200" dirty="0"/>
                          </a:p>
                        </a:txBody>
                        <a:useSpRect/>
                      </a:txSp>
                    </a:sp>
                    <a:sp>
                      <a:nvSpPr>
                        <a:cNvPr id="14" name="TextBox 13"/>
                        <a:cNvSpPr txBox="1"/>
                      </a:nvSpPr>
                      <a:spPr>
                        <a:xfrm>
                          <a:off x="1907704" y="1628800"/>
                          <a:ext cx="14401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9</a:t>
                            </a:r>
                            <a:endParaRPr lang="zh-CN" altLang="en-US" sz="1200" dirty="0"/>
                          </a:p>
                        </a:txBody>
                        <a:useSpRect/>
                      </a:txSp>
                    </a:sp>
                  </a:grpSp>
                </lc:lockedCanvas>
              </a:graphicData>
            </a:graphic>
          </wp:inline>
        </w:drawing>
      </w:r>
    </w:p>
    <w:p w14:paraId="319DD582">
      <w:pPr>
        <w:spacing w:line="360" w:lineRule="auto"/>
        <w:ind w:firstLine="570"/>
        <w:rPr>
          <w:rFonts w:ascii="Times New Roman" w:hAnsi="Times New Roman" w:eastAsia="宋体" w:cs="Times New Roman"/>
          <w:sz w:val="24"/>
          <w:szCs w:val="24"/>
        </w:rPr>
      </w:pPr>
      <w:r>
        <w:rPr>
          <w:rFonts w:ascii="Times New Roman" w:hAnsi="Times New Roman" w:eastAsia="宋体" w:cs="Times New Roman"/>
          <w:sz w:val="24"/>
          <w:szCs w:val="24"/>
        </w:rPr>
        <w:t>图3A：</w:t>
      </w:r>
      <w:r>
        <w:rPr>
          <w:rFonts w:hint="eastAsia" w:ascii="Times New Roman" w:hAnsi="Times New Roman" w:eastAsia="宋体" w:cs="Times New Roman"/>
          <w:sz w:val="24"/>
          <w:szCs w:val="24"/>
        </w:rPr>
        <w:t>二重Taqman实时</w:t>
      </w:r>
      <w:r>
        <w:rPr>
          <w:rFonts w:ascii="Times New Roman" w:hAnsi="Times New Roman" w:eastAsia="宋体" w:cs="Times New Roman"/>
          <w:sz w:val="24"/>
          <w:szCs w:val="24"/>
        </w:rPr>
        <w:t>荧光</w:t>
      </w:r>
      <w:r>
        <w:rPr>
          <w:rFonts w:hint="eastAsia" w:ascii="Times New Roman" w:hAnsi="Times New Roman" w:eastAsia="宋体" w:cs="Times New Roman"/>
          <w:sz w:val="24"/>
          <w:szCs w:val="24"/>
        </w:rPr>
        <w:t>PCR</w:t>
      </w:r>
      <w:r>
        <w:rPr>
          <w:rFonts w:ascii="Times New Roman" w:hAnsi="Times New Roman" w:eastAsia="宋体" w:cs="Times New Roman"/>
          <w:sz w:val="24"/>
          <w:szCs w:val="24"/>
        </w:rPr>
        <w:t>标准曲线结果图（MmmSC），1：工作标准品1；2：工作标准品1；3：工作标准品3；4：工作标准品4；5：工作标准品5；6：工作标准品6；7：工作标准品7；8：工作标准品8；9：工作标准品9。</w:t>
      </w:r>
    </w:p>
    <w:p w14:paraId="7FBCBF6C">
      <w:pPr>
        <w:spacing w:line="360" w:lineRule="auto"/>
        <w:ind w:firstLine="570"/>
        <w:rPr>
          <w:rFonts w:ascii="Times New Roman" w:hAnsi="Times New Roman" w:cs="Times New Roman"/>
          <w:sz w:val="28"/>
          <w:szCs w:val="28"/>
        </w:rPr>
      </w:pPr>
    </w:p>
    <w:p w14:paraId="160ED5FD">
      <w:pPr>
        <w:widowControl/>
        <w:jc w:val="center"/>
        <w:rPr>
          <w:rFonts w:ascii="Times New Roman" w:hAnsi="Times New Roman" w:eastAsia="宋体" w:cs="Times New Roman"/>
          <w:sz w:val="24"/>
        </w:rPr>
      </w:pPr>
      <w:r>
        <w:rPr>
          <w:rFonts w:ascii="Times New Roman" w:hAnsi="Times New Roman" w:cs="Times New Roman"/>
        </w:rPr>
        <w:drawing>
          <wp:inline distT="0" distB="0" distL="0" distR="0">
            <wp:extent cx="4991100" cy="2705100"/>
            <wp:effectExtent l="19050" t="0" r="0" b="0"/>
            <wp:docPr id="6" name="对象 5"/>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0" y="0"/>
                      <a:ext cx="12795559" cy="6840760"/>
                      <a:chOff x="-1708285" y="260649"/>
                      <a:chExt cx="12795559" cy="6840760"/>
                    </a:xfrm>
                  </a:grpSpPr>
                  <a:grpSp>
                    <a:nvGrpSpPr>
                      <a:cNvPr id="21" name="组合 20"/>
                      <a:cNvGrpSpPr/>
                    </a:nvGrpSpPr>
                    <a:grpSpPr>
                      <a:xfrm>
                        <a:off x="-1708285" y="260649"/>
                        <a:ext cx="12795559" cy="6840760"/>
                        <a:chOff x="-1708285" y="260649"/>
                        <a:chExt cx="12795559" cy="6840760"/>
                      </a:xfrm>
                    </a:grpSpPr>
                    <a:sp>
                      <a:nvSpPr>
                        <a:cNvPr id="4" name="TextBox 3"/>
                        <a:cNvSpPr txBox="1"/>
                      </a:nvSpPr>
                      <a:spPr>
                        <a:xfrm>
                          <a:off x="827584" y="404664"/>
                          <a:ext cx="5040354"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Taqman</a:t>
                            </a:r>
                            <a:r>
                              <a:rPr lang="zh-CN" altLang="zh-CN" dirty="0" smtClean="0"/>
                              <a:t>双重荧光</a:t>
                            </a:r>
                            <a:r>
                              <a:rPr lang="en-US" altLang="zh-CN" dirty="0" smtClean="0"/>
                              <a:t>PCR</a:t>
                            </a:r>
                            <a:r>
                              <a:rPr lang="zh-CN" altLang="zh-CN" dirty="0" smtClean="0"/>
                              <a:t>标准曲线结果图（</a:t>
                            </a:r>
                            <a:r>
                              <a:rPr lang="en-US" altLang="zh-CN" dirty="0" err="1" smtClean="0"/>
                              <a:t>M.bovis</a:t>
                            </a:r>
                            <a:r>
                              <a:rPr lang="zh-CN" altLang="zh-CN" dirty="0" smtClean="0"/>
                              <a:t>）</a:t>
                            </a:r>
                            <a:endParaRPr lang="zh-CN" altLang="en-US" dirty="0"/>
                          </a:p>
                        </a:txBody>
                        <a:useSpRect/>
                      </a:txSp>
                    </a:sp>
                    <a:pic>
                      <a:nvPicPr>
                        <a:cNvPr id="17409" name="Picture 1" descr="C:\Users\HP\AppData\Roaming\Tencent\Users\328917323\QQ\WinTemp\RichOle\07IJEY(F9T}TA2BBMV72@DO.png"/>
                        <a:cNvPicPr>
                          <a:picLocks noChangeAspect="1" noChangeArrowheads="1"/>
                        </a:cNvPicPr>
                      </a:nvPicPr>
                      <a:blipFill>
                        <a:blip r:embed="rId8" cstate="print"/>
                        <a:srcRect/>
                        <a:stretch>
                          <a:fillRect/>
                        </a:stretch>
                      </a:blipFill>
                      <a:spPr bwMode="auto">
                        <a:xfrm>
                          <a:off x="-1708285" y="260649"/>
                          <a:ext cx="12795559" cy="6840760"/>
                        </a:xfrm>
                        <a:prstGeom prst="rect">
                          <a:avLst/>
                        </a:prstGeom>
                        <a:noFill/>
                      </a:spPr>
                    </a:pic>
                    <a:sp>
                      <a:nvSpPr>
                        <a:cNvPr id="6" name="TextBox 5"/>
                        <a:cNvSpPr txBox="1"/>
                      </a:nvSpPr>
                      <a:spPr>
                        <a:xfrm>
                          <a:off x="9252520" y="5805264"/>
                          <a:ext cx="14401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1</a:t>
                            </a:r>
                            <a:endParaRPr lang="zh-CN" altLang="en-US" sz="1200" dirty="0"/>
                          </a:p>
                        </a:txBody>
                        <a:useSpRect/>
                      </a:txSp>
                    </a:sp>
                    <a:sp>
                      <a:nvSpPr>
                        <a:cNvPr id="7" name="TextBox 6"/>
                        <a:cNvSpPr txBox="1"/>
                      </a:nvSpPr>
                      <a:spPr>
                        <a:xfrm>
                          <a:off x="8172400" y="5157192"/>
                          <a:ext cx="14401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2</a:t>
                            </a:r>
                            <a:endParaRPr lang="zh-CN" altLang="en-US" sz="1200" dirty="0"/>
                          </a:p>
                        </a:txBody>
                        <a:useSpRect/>
                      </a:txSp>
                    </a:sp>
                    <a:sp>
                      <a:nvSpPr>
                        <a:cNvPr id="8" name="TextBox 7"/>
                        <a:cNvSpPr txBox="1"/>
                      </a:nvSpPr>
                      <a:spPr>
                        <a:xfrm>
                          <a:off x="7020272" y="4509120"/>
                          <a:ext cx="14401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3</a:t>
                            </a:r>
                            <a:endParaRPr lang="zh-CN" altLang="en-US" sz="1200" dirty="0"/>
                          </a:p>
                        </a:txBody>
                        <a:useSpRect/>
                      </a:txSp>
                    </a:sp>
                    <a:sp>
                      <a:nvSpPr>
                        <a:cNvPr id="9" name="TextBox 8"/>
                        <a:cNvSpPr txBox="1"/>
                      </a:nvSpPr>
                      <a:spPr>
                        <a:xfrm>
                          <a:off x="5868144" y="3861048"/>
                          <a:ext cx="14401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4</a:t>
                            </a:r>
                            <a:endParaRPr lang="zh-CN" altLang="en-US" sz="1200" dirty="0"/>
                          </a:p>
                        </a:txBody>
                        <a:useSpRect/>
                      </a:txSp>
                    </a:sp>
                    <a:sp>
                      <a:nvSpPr>
                        <a:cNvPr id="10" name="TextBox 9"/>
                        <a:cNvSpPr txBox="1"/>
                      </a:nvSpPr>
                      <a:spPr>
                        <a:xfrm>
                          <a:off x="4716016" y="3212976"/>
                          <a:ext cx="14401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5</a:t>
                            </a:r>
                            <a:endParaRPr lang="zh-CN" altLang="en-US" sz="1200" dirty="0"/>
                          </a:p>
                        </a:txBody>
                        <a:useSpRect/>
                      </a:txSp>
                    </a:sp>
                    <a:sp>
                      <a:nvSpPr>
                        <a:cNvPr id="11" name="TextBox 10"/>
                        <a:cNvSpPr txBox="1"/>
                      </a:nvSpPr>
                      <a:spPr>
                        <a:xfrm>
                          <a:off x="3635896" y="2564904"/>
                          <a:ext cx="14401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6</a:t>
                            </a:r>
                            <a:endParaRPr lang="zh-CN" altLang="en-US" sz="1200" dirty="0"/>
                          </a:p>
                        </a:txBody>
                        <a:useSpRect/>
                      </a:txSp>
                    </a:sp>
                    <a:sp>
                      <a:nvSpPr>
                        <a:cNvPr id="12" name="TextBox 11"/>
                        <a:cNvSpPr txBox="1"/>
                      </a:nvSpPr>
                      <a:spPr>
                        <a:xfrm>
                          <a:off x="2483768" y="1916832"/>
                          <a:ext cx="14401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7</a:t>
                            </a:r>
                            <a:endParaRPr lang="zh-CN" altLang="en-US" sz="1200" dirty="0"/>
                          </a:p>
                        </a:txBody>
                        <a:useSpRect/>
                      </a:txSp>
                    </a:sp>
                    <a:sp>
                      <a:nvSpPr>
                        <a:cNvPr id="13" name="TextBox 12"/>
                        <a:cNvSpPr txBox="1"/>
                      </a:nvSpPr>
                      <a:spPr>
                        <a:xfrm>
                          <a:off x="1331640" y="1279793"/>
                          <a:ext cx="14401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8</a:t>
                            </a:r>
                            <a:endParaRPr lang="zh-CN" altLang="en-US" sz="1200" dirty="0"/>
                          </a:p>
                        </a:txBody>
                        <a:useSpRect/>
                      </a:txSp>
                    </a:sp>
                    <a:sp>
                      <a:nvSpPr>
                        <a:cNvPr id="14" name="TextBox 13"/>
                        <a:cNvSpPr txBox="1"/>
                      </a:nvSpPr>
                      <a:spPr>
                        <a:xfrm>
                          <a:off x="251520" y="764704"/>
                          <a:ext cx="144016"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9</a:t>
                            </a:r>
                            <a:endParaRPr lang="zh-CN" altLang="en-US" sz="1200" dirty="0"/>
                          </a:p>
                        </a:txBody>
                        <a:useSpRect/>
                      </a:txSp>
                    </a:sp>
                    <a:pic>
                      <a:nvPicPr>
                        <a:cNvPr id="17" name="Picture 2" descr="C:\Users\HP\AppData\Roaming\Tencent\Users\328917323\QQ\WinTemp\RichOle\WTY3J4{@0FSCO(_6APSP)8D.png"/>
                        <a:cNvPicPr>
                          <a:picLocks noChangeAspect="1" noChangeArrowheads="1"/>
                        </a:cNvPicPr>
                      </a:nvPicPr>
                      <a:blipFill>
                        <a:blip r:embed="rId9"/>
                        <a:srcRect r="19382" b="-11317"/>
                        <a:stretch>
                          <a:fillRect/>
                        </a:stretch>
                      </a:blipFill>
                      <a:spPr bwMode="auto">
                        <a:xfrm>
                          <a:off x="2448272" y="2204864"/>
                          <a:ext cx="179512" cy="194754"/>
                        </a:xfrm>
                        <a:prstGeom prst="rect">
                          <a:avLst/>
                        </a:prstGeom>
                        <a:noFill/>
                      </a:spPr>
                    </a:pic>
                    <a:pic>
                      <a:nvPicPr>
                        <a:cNvPr id="19" name="Picture 2" descr="C:\Users\HP\AppData\Roaming\Tencent\Users\328917323\QQ\WinTemp\RichOle\WTY3J4{@0FSCO(_6APSP)8D.png"/>
                        <a:cNvPicPr>
                          <a:picLocks noChangeAspect="1" noChangeArrowheads="1"/>
                        </a:cNvPicPr>
                      </a:nvPicPr>
                      <a:blipFill>
                        <a:blip r:embed="rId9"/>
                        <a:srcRect r="19382" b="-11317"/>
                        <a:stretch>
                          <a:fillRect/>
                        </a:stretch>
                      </a:blipFill>
                      <a:spPr bwMode="auto">
                        <a:xfrm>
                          <a:off x="5868144" y="4221088"/>
                          <a:ext cx="179512" cy="194754"/>
                        </a:xfrm>
                        <a:prstGeom prst="rect">
                          <a:avLst/>
                        </a:prstGeom>
                        <a:noFill/>
                      </a:spPr>
                    </a:pic>
                    <a:pic>
                      <a:nvPicPr>
                        <a:cNvPr id="20" name="Picture 2" descr="C:\Users\HP\AppData\Roaming\Tencent\Users\328917323\QQ\WinTemp\RichOle\WTY3J4{@0FSCO(_6APSP)8D.png"/>
                        <a:cNvPicPr>
                          <a:picLocks noChangeAspect="1" noChangeArrowheads="1"/>
                        </a:cNvPicPr>
                      </a:nvPicPr>
                      <a:blipFill>
                        <a:blip r:embed="rId9"/>
                        <a:srcRect r="19382" b="-11317"/>
                        <a:stretch>
                          <a:fillRect/>
                        </a:stretch>
                      </a:blipFill>
                      <a:spPr bwMode="auto">
                        <a:xfrm>
                          <a:off x="3600400" y="2852936"/>
                          <a:ext cx="179512" cy="194754"/>
                        </a:xfrm>
                        <a:prstGeom prst="rect">
                          <a:avLst/>
                        </a:prstGeom>
                        <a:noFill/>
                      </a:spPr>
                    </a:pic>
                  </a:grpSp>
                </lc:lockedCanvas>
              </a:graphicData>
            </a:graphic>
          </wp:inline>
        </w:drawing>
      </w:r>
    </w:p>
    <w:p w14:paraId="306D6316">
      <w:pPr>
        <w:spacing w:line="360" w:lineRule="auto"/>
        <w:ind w:firstLine="570"/>
        <w:rPr>
          <w:rFonts w:ascii="Times New Roman" w:hAnsi="Times New Roman" w:eastAsia="宋体" w:cs="Times New Roman"/>
          <w:sz w:val="24"/>
          <w:szCs w:val="24"/>
        </w:rPr>
      </w:pPr>
      <w:r>
        <w:rPr>
          <w:rFonts w:ascii="Times New Roman" w:hAnsi="Times New Roman" w:eastAsia="宋体" w:cs="Times New Roman"/>
          <w:sz w:val="24"/>
          <w:szCs w:val="24"/>
        </w:rPr>
        <w:t>图3B：</w:t>
      </w:r>
      <w:r>
        <w:rPr>
          <w:rFonts w:hint="eastAsia" w:ascii="Times New Roman" w:hAnsi="Times New Roman" w:eastAsia="宋体" w:cs="Times New Roman"/>
          <w:sz w:val="24"/>
          <w:szCs w:val="24"/>
        </w:rPr>
        <w:t>二重Taqman实时</w:t>
      </w:r>
      <w:r>
        <w:rPr>
          <w:rFonts w:ascii="Times New Roman" w:hAnsi="Times New Roman" w:eastAsia="宋体" w:cs="Times New Roman"/>
          <w:sz w:val="24"/>
          <w:szCs w:val="24"/>
        </w:rPr>
        <w:t>荧光</w:t>
      </w:r>
      <w:r>
        <w:rPr>
          <w:rFonts w:hint="eastAsia" w:ascii="Times New Roman" w:hAnsi="Times New Roman" w:eastAsia="宋体" w:cs="Times New Roman"/>
          <w:sz w:val="24"/>
          <w:szCs w:val="24"/>
        </w:rPr>
        <w:t>PCR</w:t>
      </w:r>
      <w:r>
        <w:rPr>
          <w:rFonts w:ascii="Times New Roman" w:hAnsi="Times New Roman" w:eastAsia="宋体" w:cs="Times New Roman"/>
          <w:sz w:val="24"/>
          <w:szCs w:val="24"/>
        </w:rPr>
        <w:t>标准曲线结果图（M.bovis），1：工作标准品1；2：工作标准品1；3：工作标准品3；4：工作标准品4；5：工作标准品5；6：工作标准品6；7：工作标准品7；8：工作标准品8；9：工作标准品9。</w:t>
      </w:r>
    </w:p>
    <w:p w14:paraId="0DA6B0BE">
      <w:pPr>
        <w:spacing w:line="360" w:lineRule="auto"/>
        <w:ind w:firstLine="570"/>
        <w:rPr>
          <w:rFonts w:ascii="Times New Roman" w:hAnsi="Times New Roman" w:eastAsia="宋体" w:cs="Times New Roman"/>
          <w:sz w:val="24"/>
          <w:szCs w:val="24"/>
        </w:rPr>
      </w:pPr>
    </w:p>
    <w:p w14:paraId="48F27C94">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（3）特异性试验</w:t>
      </w:r>
    </w:p>
    <w:p w14:paraId="282B900C">
      <w:pPr>
        <w:ind w:firstLine="560" w:firstLineChars="200"/>
        <w:rPr>
          <w:rFonts w:ascii="Times New Roman" w:hAnsi="Times New Roman" w:cs="Times New Roman"/>
          <w:bCs/>
          <w:sz w:val="28"/>
          <w:szCs w:val="28"/>
        </w:rPr>
      </w:pPr>
      <w:r>
        <w:rPr>
          <w:rFonts w:ascii="Times New Roman" w:hAnsi="Times New Roman" w:cs="Times New Roman"/>
          <w:bCs/>
          <w:sz w:val="28"/>
          <w:szCs w:val="28"/>
        </w:rPr>
        <w:t>选择牛支原体</w:t>
      </w:r>
      <w:r>
        <w:rPr>
          <w:rFonts w:hint="eastAsia" w:ascii="Times New Roman" w:hAnsi="Times New Roman" w:cs="Times New Roman"/>
          <w:bCs/>
          <w:sz w:val="28"/>
          <w:szCs w:val="28"/>
        </w:rPr>
        <w:t>、</w:t>
      </w:r>
      <w:r>
        <w:rPr>
          <w:rFonts w:ascii="Times New Roman" w:hAnsi="Times New Roman" w:cs="Times New Roman"/>
          <w:bCs/>
          <w:sz w:val="28"/>
          <w:szCs w:val="28"/>
        </w:rPr>
        <w:t>山羊痘病毒、丝状支原体山羊亚种、绵羊肺炎支原体、牛型布鲁氏菌A19株</w:t>
      </w:r>
      <w:r>
        <w:rPr>
          <w:rFonts w:hint="eastAsia" w:ascii="Times New Roman" w:hAnsi="Times New Roman" w:cs="Times New Roman"/>
          <w:bCs/>
          <w:sz w:val="28"/>
          <w:szCs w:val="28"/>
        </w:rPr>
        <w:t>（疫苗株）</w:t>
      </w:r>
      <w:r>
        <w:rPr>
          <w:rFonts w:ascii="Times New Roman" w:hAnsi="Times New Roman" w:cs="Times New Roman"/>
          <w:bCs/>
          <w:sz w:val="28"/>
          <w:szCs w:val="28"/>
        </w:rPr>
        <w:t>、</w:t>
      </w:r>
      <w:r>
        <w:rPr>
          <w:rFonts w:hint="eastAsia" w:ascii="Times New Roman" w:hAnsi="Times New Roman" w:cs="Times New Roman"/>
          <w:bCs/>
          <w:sz w:val="28"/>
          <w:szCs w:val="28"/>
        </w:rPr>
        <w:t>山羊痘病毒</w:t>
      </w:r>
      <w:r>
        <w:rPr>
          <w:rFonts w:ascii="Times New Roman" w:hAnsi="Times New Roman" w:cs="Times New Roman"/>
          <w:bCs/>
          <w:sz w:val="28"/>
          <w:szCs w:val="28"/>
        </w:rPr>
        <w:t>、猪链球菌2型、牛传染性鼻气管炎病毒、牛病毒性腹泻病毒、牛肠道病毒、胡宁病毒和牛匈爱病毒基因组，验证二重Taqman实时荧光PCR方法的特异性。</w:t>
      </w:r>
    </w:p>
    <w:p w14:paraId="701DEB32">
      <w:pPr>
        <w:ind w:firstLine="560" w:firstLineChars="200"/>
        <w:rPr>
          <w:rFonts w:ascii="Times New Roman" w:hAnsi="Times New Roman" w:cs="Times New Roman"/>
          <w:bCs/>
          <w:sz w:val="28"/>
          <w:szCs w:val="28"/>
        </w:rPr>
      </w:pPr>
      <w:r>
        <w:rPr>
          <w:rFonts w:ascii="Times New Roman" w:hAnsi="Times New Roman" w:cs="Times New Roman"/>
          <w:bCs/>
          <w:sz w:val="28"/>
          <w:szCs w:val="28"/>
        </w:rPr>
        <w:t>结果如图4显示，除阳性质控品和牛支原体阳性核酸样本被</w:t>
      </w:r>
      <w:r>
        <w:rPr>
          <w:rFonts w:hint="eastAsia" w:ascii="Times New Roman" w:hAnsi="Times New Roman" w:cs="Times New Roman"/>
          <w:bCs/>
          <w:sz w:val="28"/>
          <w:szCs w:val="28"/>
        </w:rPr>
        <w:t>检测</w:t>
      </w:r>
      <w:r>
        <w:rPr>
          <w:rFonts w:ascii="Times New Roman" w:hAnsi="Times New Roman" w:cs="Times New Roman"/>
          <w:bCs/>
          <w:sz w:val="28"/>
          <w:szCs w:val="28"/>
        </w:rPr>
        <w:t>出阳性外，其他病毒检测结果判定均为阴性，表明</w:t>
      </w:r>
      <w:r>
        <w:rPr>
          <w:rFonts w:hint="eastAsia" w:ascii="Times New Roman" w:hAnsi="Times New Roman" w:cs="Times New Roman"/>
          <w:bCs/>
          <w:sz w:val="28"/>
          <w:szCs w:val="28"/>
        </w:rPr>
        <w:t>本标准建立的二重Taqman实时</w:t>
      </w:r>
      <w:r>
        <w:rPr>
          <w:rFonts w:ascii="Times New Roman" w:hAnsi="Times New Roman" w:cs="Times New Roman"/>
          <w:bCs/>
          <w:sz w:val="28"/>
          <w:szCs w:val="28"/>
        </w:rPr>
        <w:t>荧光PCR方法对丝状支原体丝状亚种和牛支原体具有良好的特异性。</w:t>
      </w:r>
    </w:p>
    <w:p w14:paraId="7CD52CFD">
      <w:pPr>
        <w:ind w:firstLine="560" w:firstLineChars="200"/>
        <w:jc w:val="center"/>
        <w:rPr>
          <w:rFonts w:ascii="Times New Roman" w:hAnsi="Times New Roman" w:cs="Times New Roman"/>
          <w:bCs/>
          <w:sz w:val="28"/>
          <w:szCs w:val="28"/>
        </w:rPr>
      </w:pPr>
      <w:r>
        <w:rPr>
          <w:rFonts w:ascii="Times New Roman" w:hAnsi="Times New Roman" w:cs="Times New Roman"/>
          <w:bCs/>
          <w:sz w:val="28"/>
          <w:szCs w:val="28"/>
        </w:rPr>
        <w:drawing>
          <wp:inline distT="0" distB="0" distL="0" distR="0">
            <wp:extent cx="4695825" cy="2961005"/>
            <wp:effectExtent l="19050" t="0" r="9099" b="0"/>
            <wp:docPr id="9" name="对象 3"/>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0" y="0"/>
                      <a:ext cx="6934200" cy="3744416"/>
                      <a:chOff x="1187624" y="692696"/>
                      <a:chExt cx="6934200" cy="3744416"/>
                    </a:xfrm>
                  </a:grpSpPr>
                  <a:grpSp>
                    <a:nvGrpSpPr>
                      <a:cNvPr id="10" name="组合 9"/>
                      <a:cNvGrpSpPr/>
                    </a:nvGrpSpPr>
                    <a:grpSpPr>
                      <a:xfrm>
                        <a:off x="1187624" y="692696"/>
                        <a:ext cx="6934200" cy="3744416"/>
                        <a:chOff x="1187624" y="692696"/>
                        <a:chExt cx="6934200" cy="3744416"/>
                      </a:xfrm>
                    </a:grpSpPr>
                    <a:pic>
                      <a:nvPicPr>
                        <a:cNvPr id="1025" name="Picture 1" descr="C:\Users\HP\AppData\Roaming\Tencent\Users\328917323\QQ\WinTemp\RichOle\71})Y)SZ5`WKMW(`)`IJ]~Q.png"/>
                        <a:cNvPicPr>
                          <a:picLocks noChangeAspect="1" noChangeArrowheads="1"/>
                        </a:cNvPicPr>
                      </a:nvPicPr>
                      <a:blipFill>
                        <a:blip r:embed="rId10"/>
                        <a:srcRect/>
                        <a:stretch>
                          <a:fillRect/>
                        </a:stretch>
                      </a:blipFill>
                      <a:spPr bwMode="auto">
                        <a:xfrm>
                          <a:off x="1187624" y="692696"/>
                          <a:ext cx="6934200" cy="3743325"/>
                        </a:xfrm>
                        <a:prstGeom prst="rect">
                          <a:avLst/>
                        </a:prstGeom>
                        <a:noFill/>
                      </a:spPr>
                    </a:pic>
                    <a:sp>
                      <a:nvSpPr>
                        <a:cNvPr id="6" name="TextBox 5"/>
                        <a:cNvSpPr txBox="1"/>
                      </a:nvSpPr>
                      <a:spPr>
                        <a:xfrm>
                          <a:off x="5364088" y="2060848"/>
                          <a:ext cx="504056"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1a</a:t>
                            </a:r>
                            <a:endParaRPr lang="zh-CN" altLang="en-US" dirty="0"/>
                          </a:p>
                        </a:txBody>
                        <a:useSpRect/>
                      </a:txSp>
                    </a:sp>
                    <a:sp>
                      <a:nvSpPr>
                        <a:cNvPr id="7" name="TextBox 6"/>
                        <a:cNvSpPr txBox="1"/>
                      </a:nvSpPr>
                      <a:spPr>
                        <a:xfrm>
                          <a:off x="5940152" y="2051556"/>
                          <a:ext cx="504056"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1b</a:t>
                            </a:r>
                            <a:endParaRPr lang="zh-CN" altLang="en-US" dirty="0"/>
                          </a:p>
                        </a:txBody>
                        <a:useSpRect/>
                      </a:txSp>
                    </a:sp>
                    <a:sp>
                      <a:nvSpPr>
                        <a:cNvPr id="8" name="TextBox 7"/>
                        <a:cNvSpPr txBox="1"/>
                      </a:nvSpPr>
                      <a:spPr>
                        <a:xfrm>
                          <a:off x="6588224" y="2636912"/>
                          <a:ext cx="504056"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2b</a:t>
                            </a:r>
                            <a:endParaRPr lang="zh-CN" altLang="en-US" dirty="0"/>
                          </a:p>
                        </a:txBody>
                        <a:useSpRect/>
                      </a:txSp>
                    </a:sp>
                    <a:sp>
                      <a:nvSpPr>
                        <a:cNvPr id="9" name="TextBox 8"/>
                        <a:cNvSpPr txBox="1"/>
                      </a:nvSpPr>
                      <a:spPr>
                        <a:xfrm>
                          <a:off x="5580112" y="4067780"/>
                          <a:ext cx="1800200"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2a-13a,3b-13b</a:t>
                            </a:r>
                            <a:endParaRPr lang="zh-CN" altLang="en-US" dirty="0"/>
                          </a:p>
                        </a:txBody>
                        <a:useSpRect/>
                      </a:txSp>
                    </a:sp>
                  </a:grpSp>
                </lc:lockedCanvas>
              </a:graphicData>
            </a:graphic>
          </wp:inline>
        </w:drawing>
      </w:r>
    </w:p>
    <w:p w14:paraId="511BED22">
      <w:pPr>
        <w:ind w:firstLine="560" w:firstLineChars="200"/>
        <w:jc w:val="center"/>
        <w:rPr>
          <w:rFonts w:ascii="Times New Roman" w:hAnsi="Times New Roman" w:cs="Times New Roman"/>
          <w:bCs/>
          <w:sz w:val="28"/>
          <w:szCs w:val="28"/>
        </w:rPr>
      </w:pPr>
    </w:p>
    <w:p w14:paraId="160B6B2F">
      <w:pPr>
        <w:spacing w:line="360" w:lineRule="auto"/>
        <w:ind w:firstLine="570"/>
        <w:rPr>
          <w:rFonts w:ascii="Times New Roman" w:hAnsi="Times New Roman" w:eastAsia="宋体" w:cs="Times New Roman"/>
          <w:sz w:val="24"/>
          <w:szCs w:val="24"/>
        </w:rPr>
      </w:pPr>
      <w:r>
        <w:rPr>
          <w:rFonts w:ascii="Times New Roman" w:hAnsi="Times New Roman" w:eastAsia="宋体" w:cs="Times New Roman"/>
          <w:sz w:val="24"/>
          <w:szCs w:val="24"/>
        </w:rPr>
        <w:t xml:space="preserve">图4：a.Cy5荧光通道扩增曲线；b.FAM荧光通道扩增曲线; 1a、1b:阳性质控品；2a、2b：牛支原体；3a、3b：丝状支原体山羊亚种； 4a、4b ：绵羊肺炎支原体； 5a、5b ：牛型布鲁氏菌A19株(疫苗株）； 6a、6b ：山羊痘病毒； 7a、7b ：猪链球菌2型； 8a、8b ：牛传染性鼻气管炎病毒； 9a、9b ：牛病毒性腹泻病毒； 10a、10b ：牛肠道病毒； 11a、11b ：胡宁病毒； 12a、12b ：牛匈爱病毒； 13a、13b ：H2O </w:t>
      </w:r>
    </w:p>
    <w:p w14:paraId="016A56C8">
      <w:pPr>
        <w:rPr>
          <w:rFonts w:ascii="Times New Roman" w:hAnsi="Times New Roman" w:eastAsia="宋体" w:cs="Times New Roman"/>
          <w:sz w:val="24"/>
        </w:rPr>
      </w:pPr>
    </w:p>
    <w:p w14:paraId="40B49D34">
      <w:pPr>
        <w:rPr>
          <w:rFonts w:ascii="Times New Roman" w:hAnsi="Times New Roman" w:eastAsia="宋体" w:cs="Times New Roman"/>
          <w:sz w:val="24"/>
        </w:rPr>
      </w:pPr>
    </w:p>
    <w:p w14:paraId="5757CE2D">
      <w:pPr>
        <w:ind w:firstLine="560" w:firstLineChars="200"/>
        <w:rPr>
          <w:rFonts w:ascii="Times New Roman" w:hAnsi="Times New Roman" w:cs="Times New Roman"/>
          <w:bCs/>
          <w:sz w:val="28"/>
          <w:szCs w:val="28"/>
        </w:rPr>
      </w:pPr>
      <w:r>
        <w:rPr>
          <w:rFonts w:ascii="Times New Roman" w:hAnsi="Times New Roman" w:cs="Times New Roman"/>
          <w:bCs/>
          <w:sz w:val="28"/>
          <w:szCs w:val="28"/>
        </w:rPr>
        <w:t>（4）</w:t>
      </w:r>
      <w:r>
        <w:rPr>
          <w:rFonts w:hint="eastAsia" w:ascii="Times New Roman" w:hAnsi="Times New Roman" w:cs="Times New Roman"/>
          <w:bCs/>
          <w:sz w:val="28"/>
          <w:szCs w:val="28"/>
        </w:rPr>
        <w:t>重复性试验</w:t>
      </w:r>
    </w:p>
    <w:p w14:paraId="2D3E00F9">
      <w:pPr>
        <w:ind w:firstLine="560" w:firstLineChars="200"/>
        <w:rPr>
          <w:rFonts w:ascii="Times New Roman" w:hAnsi="Times New Roman" w:cs="Times New Roman"/>
          <w:bCs/>
          <w:sz w:val="28"/>
          <w:szCs w:val="28"/>
        </w:rPr>
      </w:pPr>
      <w:r>
        <w:rPr>
          <w:rFonts w:hint="eastAsia" w:ascii="Times New Roman" w:hAnsi="Times New Roman" w:cs="Times New Roman"/>
          <w:bCs/>
          <w:sz w:val="28"/>
          <w:szCs w:val="28"/>
        </w:rPr>
        <w:t>分别对制备的MmmSC和M.bovis工作标准品4、6、8进行三次二重Taqman实时荧光PCR重复检测，计算批间变异系数；在同次荧光PCR中重复检测三次，计算批内变异系数。按变异系数CV%=（标准偏差SD/平均值Mean）×100%，计算批间和批内重复Ct值变异系数。</w:t>
      </w:r>
    </w:p>
    <w:p w14:paraId="45FBDF2B">
      <w:pPr>
        <w:ind w:firstLine="560" w:firstLineChars="200"/>
        <w:rPr>
          <w:rFonts w:ascii="Times New Roman" w:hAnsi="Times New Roman" w:cs="Times New Roman"/>
          <w:bCs/>
          <w:sz w:val="28"/>
          <w:szCs w:val="28"/>
        </w:rPr>
      </w:pPr>
      <w:r>
        <w:rPr>
          <w:rFonts w:hint="eastAsia" w:ascii="Times New Roman" w:hAnsi="Times New Roman" w:cs="Times New Roman"/>
          <w:bCs/>
          <w:sz w:val="28"/>
          <w:szCs w:val="28"/>
        </w:rPr>
        <w:t>结果显示，不同浓度的丝状支原体亚种核酸的检测Ct值的批内变异系数在0.66%~1.95%之间（见表2）；不同浓度的牛支原体核酸的检测Ct值的批内变异系数在0.56%~1.77%（见表2），这表明本标准建立的二重Taqman实时</w:t>
      </w:r>
      <w:r>
        <w:rPr>
          <w:rFonts w:ascii="Times New Roman" w:hAnsi="Times New Roman" w:cs="Times New Roman"/>
          <w:bCs/>
          <w:sz w:val="28"/>
          <w:szCs w:val="28"/>
        </w:rPr>
        <w:t>荧光</w:t>
      </w:r>
      <w:r>
        <w:rPr>
          <w:rFonts w:hint="eastAsia" w:ascii="Times New Roman" w:hAnsi="Times New Roman" w:cs="Times New Roman"/>
          <w:bCs/>
          <w:sz w:val="28"/>
          <w:szCs w:val="28"/>
        </w:rPr>
        <w:t>PCR方法对丝状支原体丝状亚种和牛支原体的检测具有良好的重复性。</w:t>
      </w:r>
    </w:p>
    <w:p w14:paraId="4A76C153">
      <w:pPr>
        <w:ind w:firstLine="480" w:firstLineChars="200"/>
        <w:rPr>
          <w:rFonts w:ascii="Times New Roman" w:hAnsi="Times New Roman" w:cs="Times New Roman"/>
          <w:bCs/>
          <w:sz w:val="24"/>
        </w:rPr>
      </w:pPr>
    </w:p>
    <w:p w14:paraId="71D4309E">
      <w:pPr>
        <w:ind w:firstLine="480" w:firstLineChars="200"/>
        <w:jc w:val="center"/>
        <w:rPr>
          <w:rFonts w:ascii="Times New Roman" w:hAnsi="Times New Roman" w:cs="Times New Roman"/>
          <w:bCs/>
          <w:sz w:val="24"/>
        </w:rPr>
      </w:pPr>
      <w:r>
        <w:rPr>
          <w:rFonts w:hint="eastAsia" w:ascii="Times New Roman" w:hAnsi="Times New Roman" w:cs="Times New Roman"/>
          <w:bCs/>
          <w:sz w:val="24"/>
          <w:szCs w:val="24"/>
        </w:rPr>
        <w:t>表2 二重Taqman实时荧光PCR方法重复性试验</w:t>
      </w:r>
    </w:p>
    <w:tbl>
      <w:tblPr>
        <w:tblStyle w:val="7"/>
        <w:tblW w:w="5668" w:type="pct"/>
        <w:jc w:val="center"/>
        <w:tblLayout w:type="fixed"/>
        <w:tblCellMar>
          <w:top w:w="0" w:type="dxa"/>
          <w:left w:w="108" w:type="dxa"/>
          <w:bottom w:w="0" w:type="dxa"/>
          <w:right w:w="108" w:type="dxa"/>
        </w:tblCellMar>
      </w:tblPr>
      <w:tblGrid>
        <w:gridCol w:w="1970"/>
        <w:gridCol w:w="1419"/>
        <w:gridCol w:w="1417"/>
        <w:gridCol w:w="1841"/>
        <w:gridCol w:w="1455"/>
        <w:gridCol w:w="1559"/>
      </w:tblGrid>
      <w:tr w14:paraId="30D11FB0">
        <w:tblPrEx>
          <w:tblCellMar>
            <w:top w:w="0" w:type="dxa"/>
            <w:left w:w="108" w:type="dxa"/>
            <w:bottom w:w="0" w:type="dxa"/>
            <w:right w:w="108" w:type="dxa"/>
          </w:tblCellMar>
        </w:tblPrEx>
        <w:trPr>
          <w:jc w:val="center"/>
        </w:trPr>
        <w:tc>
          <w:tcPr>
            <w:tcW w:w="1019" w:type="pct"/>
            <w:tcBorders>
              <w:top w:val="single" w:color="auto" w:sz="4" w:space="0"/>
              <w:left w:val="nil"/>
              <w:bottom w:val="single" w:color="auto" w:sz="4" w:space="0"/>
              <w:right w:val="nil"/>
            </w:tcBorders>
            <w:shd w:val="clear" w:color="auto" w:fill="auto"/>
            <w:noWrap/>
            <w:vAlign w:val="center"/>
          </w:tcPr>
          <w:p w14:paraId="5386490C">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MmmSC拷贝数/μL</w:t>
            </w:r>
          </w:p>
        </w:tc>
        <w:tc>
          <w:tcPr>
            <w:tcW w:w="734" w:type="pct"/>
            <w:tcBorders>
              <w:top w:val="single" w:color="auto" w:sz="4" w:space="0"/>
              <w:left w:val="nil"/>
              <w:bottom w:val="single" w:color="auto" w:sz="4" w:space="0"/>
              <w:right w:val="nil"/>
            </w:tcBorders>
            <w:shd w:val="clear" w:color="auto" w:fill="auto"/>
            <w:noWrap/>
            <w:vAlign w:val="center"/>
          </w:tcPr>
          <w:p w14:paraId="1995D3CD">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批内变异系数</w:t>
            </w:r>
          </w:p>
        </w:tc>
        <w:tc>
          <w:tcPr>
            <w:tcW w:w="733" w:type="pct"/>
            <w:tcBorders>
              <w:top w:val="single" w:color="auto" w:sz="4" w:space="0"/>
              <w:left w:val="nil"/>
              <w:bottom w:val="single" w:color="auto" w:sz="4" w:space="0"/>
              <w:right w:val="nil"/>
            </w:tcBorders>
            <w:shd w:val="clear" w:color="auto" w:fill="auto"/>
            <w:noWrap/>
            <w:vAlign w:val="center"/>
          </w:tcPr>
          <w:p w14:paraId="4FBA1A98">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批间变异系数</w:t>
            </w:r>
          </w:p>
        </w:tc>
        <w:tc>
          <w:tcPr>
            <w:tcW w:w="953" w:type="pct"/>
            <w:tcBorders>
              <w:top w:val="single" w:color="auto" w:sz="4" w:space="0"/>
              <w:left w:val="nil"/>
              <w:bottom w:val="single" w:color="auto" w:sz="4" w:space="0"/>
              <w:right w:val="nil"/>
            </w:tcBorders>
            <w:shd w:val="clear" w:color="auto" w:fill="auto"/>
            <w:noWrap/>
            <w:vAlign w:val="center"/>
          </w:tcPr>
          <w:p w14:paraId="28CD60E0">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M.bovis拷贝数/μL</w:t>
            </w:r>
          </w:p>
        </w:tc>
        <w:tc>
          <w:tcPr>
            <w:tcW w:w="753" w:type="pct"/>
            <w:tcBorders>
              <w:top w:val="single" w:color="auto" w:sz="4" w:space="0"/>
              <w:left w:val="nil"/>
              <w:bottom w:val="single" w:color="auto" w:sz="4" w:space="0"/>
              <w:right w:val="nil"/>
            </w:tcBorders>
            <w:shd w:val="clear" w:color="auto" w:fill="auto"/>
            <w:noWrap/>
            <w:vAlign w:val="center"/>
          </w:tcPr>
          <w:p w14:paraId="37B2BF23">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批内变异系数</w:t>
            </w:r>
          </w:p>
        </w:tc>
        <w:tc>
          <w:tcPr>
            <w:tcW w:w="807" w:type="pct"/>
            <w:tcBorders>
              <w:top w:val="single" w:color="auto" w:sz="4" w:space="0"/>
              <w:left w:val="nil"/>
              <w:bottom w:val="single" w:color="auto" w:sz="4" w:space="0"/>
              <w:right w:val="nil"/>
            </w:tcBorders>
            <w:shd w:val="clear" w:color="auto" w:fill="auto"/>
            <w:noWrap/>
            <w:vAlign w:val="center"/>
          </w:tcPr>
          <w:p w14:paraId="741AD0FC">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批间变异系数</w:t>
            </w:r>
          </w:p>
        </w:tc>
      </w:tr>
      <w:tr w14:paraId="6C673F0C">
        <w:tblPrEx>
          <w:tblCellMar>
            <w:top w:w="0" w:type="dxa"/>
            <w:left w:w="108" w:type="dxa"/>
            <w:bottom w:w="0" w:type="dxa"/>
            <w:right w:w="108" w:type="dxa"/>
          </w:tblCellMar>
        </w:tblPrEx>
        <w:trPr>
          <w:jc w:val="center"/>
        </w:trPr>
        <w:tc>
          <w:tcPr>
            <w:tcW w:w="1019" w:type="pct"/>
            <w:tcBorders>
              <w:top w:val="nil"/>
              <w:left w:val="nil"/>
              <w:bottom w:val="nil"/>
              <w:right w:val="nil"/>
            </w:tcBorders>
            <w:shd w:val="clear" w:color="auto" w:fill="auto"/>
            <w:noWrap/>
            <w:vAlign w:val="center"/>
          </w:tcPr>
          <w:p w14:paraId="1045D786">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11.495×10</w:t>
            </w:r>
            <w:r>
              <w:rPr>
                <w:rFonts w:ascii="Times New Roman" w:hAnsi="Times New Roman" w:eastAsia="宋体" w:cs="Times New Roman"/>
                <w:kern w:val="0"/>
                <w:sz w:val="20"/>
                <w:szCs w:val="20"/>
                <w:vertAlign w:val="superscript"/>
              </w:rPr>
              <w:t>8</w:t>
            </w:r>
          </w:p>
        </w:tc>
        <w:tc>
          <w:tcPr>
            <w:tcW w:w="734" w:type="pct"/>
            <w:tcBorders>
              <w:top w:val="nil"/>
              <w:left w:val="nil"/>
              <w:bottom w:val="nil"/>
              <w:right w:val="nil"/>
            </w:tcBorders>
            <w:shd w:val="clear" w:color="auto" w:fill="auto"/>
            <w:noWrap/>
            <w:vAlign w:val="center"/>
          </w:tcPr>
          <w:p w14:paraId="7A48B506">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0.81%</w:t>
            </w:r>
          </w:p>
        </w:tc>
        <w:tc>
          <w:tcPr>
            <w:tcW w:w="733" w:type="pct"/>
            <w:tcBorders>
              <w:top w:val="nil"/>
              <w:left w:val="nil"/>
              <w:bottom w:val="nil"/>
              <w:right w:val="nil"/>
            </w:tcBorders>
            <w:shd w:val="clear" w:color="auto" w:fill="auto"/>
            <w:noWrap/>
            <w:vAlign w:val="center"/>
          </w:tcPr>
          <w:p w14:paraId="1AD52022">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0.93%</w:t>
            </w:r>
          </w:p>
        </w:tc>
        <w:tc>
          <w:tcPr>
            <w:tcW w:w="953" w:type="pct"/>
            <w:tcBorders>
              <w:top w:val="nil"/>
              <w:left w:val="nil"/>
              <w:bottom w:val="nil"/>
              <w:right w:val="nil"/>
            </w:tcBorders>
            <w:shd w:val="clear" w:color="auto" w:fill="auto"/>
            <w:noWrap/>
            <w:vAlign w:val="center"/>
          </w:tcPr>
          <w:p w14:paraId="66B24CA4">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11.495×10</w:t>
            </w:r>
            <w:r>
              <w:rPr>
                <w:rFonts w:ascii="Times New Roman" w:hAnsi="Times New Roman" w:eastAsia="宋体" w:cs="Times New Roman"/>
                <w:kern w:val="0"/>
                <w:sz w:val="20"/>
                <w:szCs w:val="20"/>
                <w:vertAlign w:val="superscript"/>
              </w:rPr>
              <w:t>8</w:t>
            </w:r>
          </w:p>
        </w:tc>
        <w:tc>
          <w:tcPr>
            <w:tcW w:w="753" w:type="pct"/>
            <w:tcBorders>
              <w:top w:val="nil"/>
              <w:left w:val="nil"/>
              <w:bottom w:val="nil"/>
              <w:right w:val="nil"/>
            </w:tcBorders>
            <w:shd w:val="clear" w:color="auto" w:fill="auto"/>
            <w:noWrap/>
            <w:vAlign w:val="center"/>
          </w:tcPr>
          <w:p w14:paraId="6C5BE957">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1.77%</w:t>
            </w:r>
          </w:p>
        </w:tc>
        <w:tc>
          <w:tcPr>
            <w:tcW w:w="807" w:type="pct"/>
            <w:tcBorders>
              <w:top w:val="nil"/>
              <w:left w:val="nil"/>
              <w:bottom w:val="nil"/>
              <w:right w:val="nil"/>
            </w:tcBorders>
            <w:shd w:val="clear" w:color="auto" w:fill="auto"/>
            <w:noWrap/>
            <w:vAlign w:val="center"/>
          </w:tcPr>
          <w:p w14:paraId="44D2F76A">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1.95%</w:t>
            </w:r>
          </w:p>
        </w:tc>
      </w:tr>
      <w:tr w14:paraId="58946678">
        <w:tblPrEx>
          <w:tblCellMar>
            <w:top w:w="0" w:type="dxa"/>
            <w:left w:w="108" w:type="dxa"/>
            <w:bottom w:w="0" w:type="dxa"/>
            <w:right w:w="108" w:type="dxa"/>
          </w:tblCellMar>
        </w:tblPrEx>
        <w:trPr>
          <w:jc w:val="center"/>
        </w:trPr>
        <w:tc>
          <w:tcPr>
            <w:tcW w:w="1019" w:type="pct"/>
            <w:tcBorders>
              <w:top w:val="nil"/>
              <w:left w:val="nil"/>
              <w:right w:val="nil"/>
            </w:tcBorders>
            <w:shd w:val="clear" w:color="auto" w:fill="auto"/>
            <w:noWrap/>
            <w:vAlign w:val="center"/>
          </w:tcPr>
          <w:p w14:paraId="7B958247">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11.495×10</w:t>
            </w:r>
            <w:r>
              <w:rPr>
                <w:rFonts w:ascii="Times New Roman" w:hAnsi="Times New Roman" w:eastAsia="宋体" w:cs="Times New Roman"/>
                <w:kern w:val="0"/>
                <w:sz w:val="20"/>
                <w:szCs w:val="20"/>
                <w:vertAlign w:val="superscript"/>
              </w:rPr>
              <w:t>6</w:t>
            </w:r>
          </w:p>
        </w:tc>
        <w:tc>
          <w:tcPr>
            <w:tcW w:w="734" w:type="pct"/>
            <w:tcBorders>
              <w:top w:val="nil"/>
              <w:left w:val="nil"/>
              <w:right w:val="nil"/>
            </w:tcBorders>
            <w:shd w:val="clear" w:color="auto" w:fill="auto"/>
            <w:noWrap/>
            <w:vAlign w:val="center"/>
          </w:tcPr>
          <w:p w14:paraId="5018F585">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1.61%</w:t>
            </w:r>
          </w:p>
        </w:tc>
        <w:tc>
          <w:tcPr>
            <w:tcW w:w="733" w:type="pct"/>
            <w:tcBorders>
              <w:top w:val="nil"/>
              <w:left w:val="nil"/>
              <w:right w:val="nil"/>
            </w:tcBorders>
            <w:shd w:val="clear" w:color="auto" w:fill="auto"/>
            <w:noWrap/>
            <w:vAlign w:val="center"/>
          </w:tcPr>
          <w:p w14:paraId="572E707C">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1.56%</w:t>
            </w:r>
          </w:p>
        </w:tc>
        <w:tc>
          <w:tcPr>
            <w:tcW w:w="953" w:type="pct"/>
            <w:tcBorders>
              <w:top w:val="nil"/>
              <w:left w:val="nil"/>
              <w:right w:val="nil"/>
            </w:tcBorders>
            <w:shd w:val="clear" w:color="auto" w:fill="auto"/>
            <w:noWrap/>
            <w:vAlign w:val="center"/>
          </w:tcPr>
          <w:p w14:paraId="0B9D5FAA">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11.495×10</w:t>
            </w:r>
            <w:r>
              <w:rPr>
                <w:rFonts w:ascii="Times New Roman" w:hAnsi="Times New Roman" w:eastAsia="宋体" w:cs="Times New Roman"/>
                <w:kern w:val="0"/>
                <w:sz w:val="20"/>
                <w:szCs w:val="20"/>
                <w:vertAlign w:val="superscript"/>
              </w:rPr>
              <w:t>6</w:t>
            </w:r>
          </w:p>
        </w:tc>
        <w:tc>
          <w:tcPr>
            <w:tcW w:w="753" w:type="pct"/>
            <w:tcBorders>
              <w:top w:val="nil"/>
              <w:left w:val="nil"/>
              <w:right w:val="nil"/>
            </w:tcBorders>
            <w:shd w:val="clear" w:color="auto" w:fill="auto"/>
            <w:noWrap/>
            <w:vAlign w:val="center"/>
          </w:tcPr>
          <w:p w14:paraId="35FD4300">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1.06%</w:t>
            </w:r>
          </w:p>
        </w:tc>
        <w:tc>
          <w:tcPr>
            <w:tcW w:w="807" w:type="pct"/>
            <w:tcBorders>
              <w:top w:val="nil"/>
              <w:left w:val="nil"/>
              <w:right w:val="nil"/>
            </w:tcBorders>
            <w:shd w:val="clear" w:color="auto" w:fill="auto"/>
            <w:noWrap/>
            <w:vAlign w:val="center"/>
          </w:tcPr>
          <w:p w14:paraId="2967550B">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1.63%</w:t>
            </w:r>
          </w:p>
        </w:tc>
      </w:tr>
      <w:tr w14:paraId="6FABB06D">
        <w:tblPrEx>
          <w:tblCellMar>
            <w:top w:w="0" w:type="dxa"/>
            <w:left w:w="108" w:type="dxa"/>
            <w:bottom w:w="0" w:type="dxa"/>
            <w:right w:w="108" w:type="dxa"/>
          </w:tblCellMar>
        </w:tblPrEx>
        <w:trPr>
          <w:jc w:val="center"/>
        </w:trPr>
        <w:tc>
          <w:tcPr>
            <w:tcW w:w="1019" w:type="pct"/>
            <w:tcBorders>
              <w:top w:val="nil"/>
              <w:left w:val="nil"/>
              <w:bottom w:val="single" w:color="auto" w:sz="4" w:space="0"/>
              <w:right w:val="nil"/>
            </w:tcBorders>
            <w:shd w:val="clear" w:color="auto" w:fill="auto"/>
            <w:noWrap/>
            <w:vAlign w:val="center"/>
          </w:tcPr>
          <w:p w14:paraId="262D1CFB">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11.495×10</w:t>
            </w:r>
            <w:r>
              <w:rPr>
                <w:rFonts w:ascii="Times New Roman" w:hAnsi="Times New Roman" w:eastAsia="宋体" w:cs="Times New Roman"/>
                <w:kern w:val="0"/>
                <w:sz w:val="20"/>
                <w:szCs w:val="20"/>
                <w:vertAlign w:val="superscript"/>
              </w:rPr>
              <w:t>4</w:t>
            </w:r>
          </w:p>
        </w:tc>
        <w:tc>
          <w:tcPr>
            <w:tcW w:w="734" w:type="pct"/>
            <w:tcBorders>
              <w:top w:val="nil"/>
              <w:left w:val="nil"/>
              <w:bottom w:val="single" w:color="auto" w:sz="4" w:space="0"/>
              <w:right w:val="nil"/>
            </w:tcBorders>
            <w:shd w:val="clear" w:color="auto" w:fill="auto"/>
            <w:noWrap/>
            <w:vAlign w:val="center"/>
          </w:tcPr>
          <w:p w14:paraId="5E622F7A">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0.56%</w:t>
            </w:r>
          </w:p>
        </w:tc>
        <w:tc>
          <w:tcPr>
            <w:tcW w:w="733" w:type="pct"/>
            <w:tcBorders>
              <w:top w:val="nil"/>
              <w:left w:val="nil"/>
              <w:bottom w:val="single" w:color="auto" w:sz="4" w:space="0"/>
              <w:right w:val="nil"/>
            </w:tcBorders>
            <w:shd w:val="clear" w:color="auto" w:fill="auto"/>
            <w:noWrap/>
            <w:vAlign w:val="center"/>
          </w:tcPr>
          <w:p w14:paraId="0942BFFE">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0.66%</w:t>
            </w:r>
          </w:p>
        </w:tc>
        <w:tc>
          <w:tcPr>
            <w:tcW w:w="953" w:type="pct"/>
            <w:tcBorders>
              <w:top w:val="nil"/>
              <w:left w:val="nil"/>
              <w:bottom w:val="single" w:color="auto" w:sz="4" w:space="0"/>
              <w:right w:val="nil"/>
            </w:tcBorders>
            <w:shd w:val="clear" w:color="auto" w:fill="auto"/>
            <w:noWrap/>
            <w:vAlign w:val="center"/>
          </w:tcPr>
          <w:p w14:paraId="2A00735E">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11.495×10</w:t>
            </w:r>
            <w:r>
              <w:rPr>
                <w:rFonts w:ascii="Times New Roman" w:hAnsi="Times New Roman" w:eastAsia="宋体" w:cs="Times New Roman"/>
                <w:kern w:val="0"/>
                <w:sz w:val="20"/>
                <w:szCs w:val="20"/>
                <w:vertAlign w:val="superscript"/>
              </w:rPr>
              <w:t>4</w:t>
            </w:r>
          </w:p>
        </w:tc>
        <w:tc>
          <w:tcPr>
            <w:tcW w:w="753" w:type="pct"/>
            <w:tcBorders>
              <w:top w:val="nil"/>
              <w:left w:val="nil"/>
              <w:bottom w:val="single" w:color="auto" w:sz="4" w:space="0"/>
              <w:right w:val="nil"/>
            </w:tcBorders>
            <w:shd w:val="clear" w:color="auto" w:fill="auto"/>
            <w:noWrap/>
            <w:vAlign w:val="center"/>
          </w:tcPr>
          <w:p w14:paraId="5BD9E77E">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1.28%</w:t>
            </w:r>
          </w:p>
        </w:tc>
        <w:tc>
          <w:tcPr>
            <w:tcW w:w="807" w:type="pct"/>
            <w:tcBorders>
              <w:top w:val="nil"/>
              <w:left w:val="nil"/>
              <w:bottom w:val="single" w:color="auto" w:sz="4" w:space="0"/>
              <w:right w:val="nil"/>
            </w:tcBorders>
            <w:shd w:val="clear" w:color="auto" w:fill="auto"/>
            <w:noWrap/>
            <w:vAlign w:val="center"/>
          </w:tcPr>
          <w:p w14:paraId="09106C15">
            <w:pPr>
              <w:widowControl/>
              <w:jc w:val="center"/>
              <w:rPr>
                <w:rFonts w:ascii="Times New Roman" w:hAnsi="Times New Roman" w:eastAsia="宋体" w:cs="Times New Roman"/>
                <w:kern w:val="0"/>
                <w:sz w:val="20"/>
                <w:szCs w:val="20"/>
              </w:rPr>
            </w:pPr>
            <w:r>
              <w:rPr>
                <w:rFonts w:ascii="Times New Roman" w:hAnsi="Times New Roman" w:eastAsia="宋体" w:cs="Times New Roman"/>
                <w:kern w:val="0"/>
                <w:sz w:val="20"/>
                <w:szCs w:val="20"/>
              </w:rPr>
              <w:t>1.50%</w:t>
            </w:r>
          </w:p>
        </w:tc>
      </w:tr>
    </w:tbl>
    <w:p w14:paraId="2E0CB811">
      <w:pPr>
        <w:ind w:firstLine="480" w:firstLineChars="200"/>
        <w:rPr>
          <w:rFonts w:ascii="Times New Roman" w:hAnsi="Times New Roman" w:cs="Times New Roman"/>
          <w:bCs/>
          <w:sz w:val="24"/>
        </w:rPr>
      </w:pPr>
    </w:p>
    <w:p w14:paraId="2B11B533">
      <w:pPr>
        <w:ind w:firstLine="480" w:firstLineChars="200"/>
        <w:rPr>
          <w:rFonts w:ascii="Times New Roman" w:hAnsi="Times New Roman" w:cs="Times New Roman"/>
          <w:bCs/>
          <w:sz w:val="24"/>
        </w:rPr>
      </w:pPr>
    </w:p>
    <w:p w14:paraId="360FEE9F">
      <w:pPr>
        <w:ind w:firstLine="560" w:firstLineChars="200"/>
        <w:rPr>
          <w:rFonts w:ascii="Times New Roman" w:hAnsi="Times New Roman" w:cs="Times New Roman"/>
          <w:bCs/>
          <w:color w:val="auto"/>
          <w:sz w:val="28"/>
          <w:szCs w:val="28"/>
        </w:rPr>
      </w:pPr>
      <w:bookmarkStart w:id="0" w:name="_GoBack"/>
      <w:r>
        <w:rPr>
          <w:rFonts w:ascii="Times New Roman" w:hAnsi="Times New Roman" w:cs="Times New Roman"/>
          <w:bCs/>
          <w:color w:val="auto"/>
          <w:sz w:val="28"/>
          <w:szCs w:val="28"/>
        </w:rPr>
        <w:t>（</w:t>
      </w:r>
      <w:r>
        <w:rPr>
          <w:rFonts w:hint="eastAsia" w:ascii="Times New Roman" w:hAnsi="Times New Roman" w:cs="Times New Roman"/>
          <w:bCs/>
          <w:color w:val="auto"/>
          <w:sz w:val="28"/>
          <w:szCs w:val="28"/>
        </w:rPr>
        <w:t>5</w:t>
      </w:r>
      <w:r>
        <w:rPr>
          <w:rFonts w:ascii="Times New Roman" w:hAnsi="Times New Roman" w:cs="Times New Roman"/>
          <w:bCs/>
          <w:color w:val="auto"/>
          <w:sz w:val="28"/>
          <w:szCs w:val="28"/>
        </w:rPr>
        <w:t>）</w:t>
      </w:r>
      <w:r>
        <w:rPr>
          <w:rFonts w:hint="eastAsia" w:ascii="Times New Roman" w:hAnsi="Times New Roman" w:cs="Times New Roman"/>
          <w:bCs/>
          <w:color w:val="auto"/>
          <w:sz w:val="28"/>
          <w:szCs w:val="28"/>
        </w:rPr>
        <w:t>临床检测应用</w:t>
      </w:r>
    </w:p>
    <w:p w14:paraId="14C365EC">
      <w:pPr>
        <w:rPr>
          <w:rFonts w:ascii="Times New Roman" w:hAnsi="Times New Roman" w:cs="Times New Roman"/>
          <w:bCs/>
          <w:color w:val="auto"/>
          <w:sz w:val="28"/>
          <w:szCs w:val="28"/>
        </w:rPr>
      </w:pPr>
      <w:r>
        <w:rPr>
          <w:rFonts w:hint="eastAsia" w:ascii="Times New Roman" w:hAnsi="Times New Roman" w:cs="Times New Roman"/>
          <w:bCs/>
          <w:color w:val="auto"/>
          <w:sz w:val="28"/>
          <w:szCs w:val="28"/>
        </w:rPr>
        <w:t xml:space="preserve">    </w:t>
      </w:r>
      <w:r>
        <w:rPr>
          <w:rFonts w:ascii="Times New Roman" w:hAnsi="Times New Roman" w:cs="Times New Roman"/>
          <w:bCs/>
          <w:color w:val="auto"/>
          <w:sz w:val="28"/>
          <w:szCs w:val="28"/>
        </w:rPr>
        <w:t>202</w:t>
      </w:r>
      <w:r>
        <w:rPr>
          <w:rFonts w:hint="eastAsia" w:ascii="Times New Roman" w:hAnsi="Times New Roman" w:cs="Times New Roman"/>
          <w:bCs/>
          <w:color w:val="auto"/>
          <w:sz w:val="28"/>
          <w:szCs w:val="28"/>
        </w:rPr>
        <w:t>4</w:t>
      </w:r>
      <w:r>
        <w:rPr>
          <w:rFonts w:ascii="Times New Roman" w:hAnsi="Times New Roman" w:cs="Times New Roman"/>
          <w:bCs/>
          <w:color w:val="auto"/>
          <w:sz w:val="28"/>
          <w:szCs w:val="28"/>
        </w:rPr>
        <w:t>年</w:t>
      </w:r>
      <w:r>
        <w:rPr>
          <w:rFonts w:hint="eastAsia" w:ascii="Times New Roman" w:hAnsi="Times New Roman" w:cs="Times New Roman"/>
          <w:bCs/>
          <w:color w:val="auto"/>
          <w:sz w:val="28"/>
          <w:szCs w:val="28"/>
        </w:rPr>
        <w:t>7</w:t>
      </w:r>
      <w:r>
        <w:rPr>
          <w:rFonts w:ascii="Times New Roman" w:hAnsi="Times New Roman" w:cs="Times New Roman"/>
          <w:bCs/>
          <w:color w:val="auto"/>
          <w:sz w:val="28"/>
          <w:szCs w:val="28"/>
        </w:rPr>
        <w:t>月</w:t>
      </w:r>
      <w:r>
        <w:rPr>
          <w:rFonts w:hint="eastAsia" w:ascii="Times New Roman" w:hAnsi="Times New Roman" w:cs="Times New Roman"/>
          <w:bCs/>
          <w:color w:val="auto"/>
          <w:sz w:val="28"/>
          <w:szCs w:val="28"/>
        </w:rPr>
        <w:t>，本标准方法经过特异性、敏感性、重复性试验后，由广西壮族自治区自治区</w:t>
      </w:r>
      <w:r>
        <w:rPr>
          <w:rFonts w:ascii="Times New Roman" w:hAnsi="Times New Roman" w:cs="Times New Roman"/>
          <w:bCs/>
          <w:color w:val="auto"/>
          <w:sz w:val="28"/>
          <w:szCs w:val="28"/>
        </w:rPr>
        <w:t>动物疫病预防控制中心</w:t>
      </w:r>
      <w:r>
        <w:rPr>
          <w:rFonts w:hint="eastAsia" w:ascii="Times New Roman" w:hAnsi="Times New Roman" w:cs="Times New Roman"/>
          <w:bCs/>
          <w:color w:val="auto"/>
          <w:sz w:val="28"/>
          <w:szCs w:val="28"/>
        </w:rPr>
        <w:t>、南宁市动物疫病预防控制中心、百色市动物疫病预防控制中心三家兽医实验室就161份田间样品进行检测验证，实验结果完全一致，符合率100%。实验结果说明，本检测方法特异性强、敏感性高、高效结果准确可靠，适用于临床实际应用。现将检测过程</w:t>
      </w:r>
      <w:r>
        <w:rPr>
          <w:rFonts w:ascii="Times New Roman" w:hAnsi="Times New Roman" w:cs="Times New Roman"/>
          <w:bCs/>
          <w:color w:val="auto"/>
          <w:sz w:val="28"/>
          <w:szCs w:val="28"/>
        </w:rPr>
        <w:t>总结如下：</w:t>
      </w:r>
    </w:p>
    <w:p w14:paraId="5B68BAD8">
      <w:pPr>
        <w:rPr>
          <w:rFonts w:ascii="Times New Roman" w:hAnsi="Times New Roman" w:cs="Times New Roman"/>
          <w:bCs/>
          <w:color w:val="auto"/>
          <w:sz w:val="28"/>
          <w:szCs w:val="28"/>
        </w:rPr>
      </w:pPr>
      <w:r>
        <w:rPr>
          <w:rFonts w:hint="eastAsia" w:ascii="Times New Roman" w:hAnsi="Times New Roman" w:cs="Times New Roman"/>
          <w:bCs/>
          <w:color w:val="auto"/>
          <w:sz w:val="28"/>
          <w:szCs w:val="28"/>
        </w:rPr>
        <w:t>161份田间样品由广西自治区动物疫病预防控制中心收集、保存，一式三份。使用本标准方法，从</w:t>
      </w:r>
      <w:r>
        <w:rPr>
          <w:rFonts w:ascii="Times New Roman" w:hAnsi="Times New Roman" w:cs="Times New Roman"/>
          <w:bCs/>
          <w:color w:val="auto"/>
          <w:sz w:val="28"/>
          <w:szCs w:val="28"/>
        </w:rPr>
        <w:t>161</w:t>
      </w:r>
      <w:r>
        <w:rPr>
          <w:rFonts w:hint="eastAsia" w:ascii="Times New Roman" w:hAnsi="Times New Roman" w:cs="Times New Roman"/>
          <w:bCs/>
          <w:color w:val="auto"/>
          <w:sz w:val="28"/>
          <w:szCs w:val="28"/>
        </w:rPr>
        <w:t>份临床样品中检出牛支原体阳性</w:t>
      </w:r>
      <w:r>
        <w:rPr>
          <w:rFonts w:ascii="Times New Roman" w:hAnsi="Times New Roman" w:cs="Times New Roman"/>
          <w:bCs/>
          <w:color w:val="auto"/>
          <w:sz w:val="28"/>
          <w:szCs w:val="28"/>
        </w:rPr>
        <w:t>11</w:t>
      </w:r>
      <w:r>
        <w:rPr>
          <w:rFonts w:hint="eastAsia" w:ascii="Times New Roman" w:hAnsi="Times New Roman" w:cs="Times New Roman"/>
          <w:bCs/>
          <w:color w:val="auto"/>
          <w:sz w:val="28"/>
          <w:szCs w:val="28"/>
        </w:rPr>
        <w:t>份，阳性率</w:t>
      </w:r>
      <w:r>
        <w:rPr>
          <w:rFonts w:ascii="Times New Roman" w:hAnsi="Times New Roman" w:cs="Times New Roman"/>
          <w:bCs/>
          <w:color w:val="auto"/>
          <w:sz w:val="28"/>
          <w:szCs w:val="28"/>
        </w:rPr>
        <w:t>6.83</w:t>
      </w:r>
      <w:r>
        <w:rPr>
          <w:rFonts w:hint="eastAsia" w:ascii="Times New Roman" w:hAnsi="Times New Roman" w:cs="Times New Roman"/>
          <w:bCs/>
          <w:color w:val="auto"/>
          <w:sz w:val="28"/>
          <w:szCs w:val="28"/>
        </w:rPr>
        <w:t>%，丝状支原体丝状亚种阳性0份，阳性率0%。试验结果表明，该方法可用于牛血液、血清、口鼻拭子的牛支原体核酸和丝状支原体丝状亚种核酸的检测。</w:t>
      </w:r>
    </w:p>
    <w:p w14:paraId="7301A2E1">
      <w:pPr>
        <w:rPr>
          <w:rFonts w:ascii="Times New Roman" w:hAnsi="Times New Roman" w:cs="Times New Roman"/>
          <w:bCs/>
          <w:color w:val="auto"/>
          <w:sz w:val="28"/>
          <w:szCs w:val="28"/>
        </w:rPr>
      </w:pPr>
      <w:r>
        <w:rPr>
          <w:rFonts w:hint="eastAsia" w:ascii="Times New Roman" w:hAnsi="Times New Roman" w:cs="Times New Roman"/>
          <w:bCs/>
          <w:color w:val="auto"/>
          <w:sz w:val="28"/>
          <w:szCs w:val="28"/>
        </w:rPr>
        <w:t>由于丝状支原体丝状亚种没有OIE推荐方法和其他标准检测方法可参考，且在所有样品中阳性率为0%，因此使用</w:t>
      </w:r>
      <w:r>
        <w:rPr>
          <w:rFonts w:ascii="Times New Roman" w:hAnsi="Times New Roman" w:cs="Times New Roman"/>
          <w:bCs/>
          <w:color w:val="auto"/>
          <w:sz w:val="28"/>
          <w:szCs w:val="28"/>
        </w:rPr>
        <w:t>NY/T 3234-2018</w:t>
      </w:r>
      <w:r>
        <w:rPr>
          <w:rFonts w:hint="eastAsia" w:ascii="Times New Roman" w:hAnsi="Times New Roman" w:cs="Times New Roman"/>
          <w:bCs/>
          <w:color w:val="auto"/>
          <w:sz w:val="28"/>
          <w:szCs w:val="28"/>
        </w:rPr>
        <w:t>《</w:t>
      </w:r>
      <w:r>
        <w:rPr>
          <w:rFonts w:ascii="Times New Roman" w:hAnsi="Times New Roman" w:cs="Times New Roman"/>
          <w:bCs/>
          <w:color w:val="auto"/>
          <w:sz w:val="28"/>
          <w:szCs w:val="28"/>
        </w:rPr>
        <w:t>牛支原体PCR检测方法</w:t>
      </w:r>
      <w:r>
        <w:rPr>
          <w:rFonts w:hint="eastAsia" w:ascii="Times New Roman" w:hAnsi="Times New Roman" w:cs="Times New Roman"/>
          <w:bCs/>
          <w:color w:val="auto"/>
          <w:sz w:val="28"/>
          <w:szCs w:val="28"/>
        </w:rPr>
        <w:t>》对本方法所有检出的牛支原体阳性样品进行确认，计算三家实验室检测结果的符合率。检测结果显示，本标准方法牛支原体检测结果阳性</w:t>
      </w:r>
      <w:r>
        <w:rPr>
          <w:rFonts w:ascii="Times New Roman" w:hAnsi="Times New Roman" w:cs="Times New Roman"/>
          <w:bCs/>
          <w:color w:val="auto"/>
          <w:sz w:val="28"/>
          <w:szCs w:val="28"/>
        </w:rPr>
        <w:t>11</w:t>
      </w:r>
      <w:r>
        <w:rPr>
          <w:rFonts w:hint="eastAsia" w:ascii="Times New Roman" w:hAnsi="Times New Roman" w:cs="Times New Roman"/>
          <w:bCs/>
          <w:color w:val="auto"/>
          <w:sz w:val="28"/>
          <w:szCs w:val="28"/>
        </w:rPr>
        <w:t>份，阴性</w:t>
      </w:r>
      <w:r>
        <w:rPr>
          <w:rFonts w:ascii="Times New Roman" w:hAnsi="Times New Roman" w:cs="Times New Roman"/>
          <w:bCs/>
          <w:color w:val="auto"/>
          <w:sz w:val="28"/>
          <w:szCs w:val="28"/>
        </w:rPr>
        <w:t>150</w:t>
      </w:r>
      <w:r>
        <w:rPr>
          <w:rFonts w:hint="eastAsia" w:ascii="Times New Roman" w:hAnsi="Times New Roman" w:cs="Times New Roman"/>
          <w:bCs/>
          <w:color w:val="auto"/>
          <w:sz w:val="28"/>
          <w:szCs w:val="28"/>
        </w:rPr>
        <w:t>份；</w:t>
      </w:r>
      <w:r>
        <w:rPr>
          <w:rFonts w:ascii="Times New Roman" w:hAnsi="Times New Roman" w:cs="Times New Roman"/>
          <w:bCs/>
          <w:color w:val="auto"/>
          <w:sz w:val="28"/>
          <w:szCs w:val="28"/>
        </w:rPr>
        <w:t>NY/T 3234-2018</w:t>
      </w:r>
      <w:r>
        <w:rPr>
          <w:rFonts w:hint="eastAsia" w:ascii="Times New Roman" w:hAnsi="Times New Roman" w:cs="Times New Roman"/>
          <w:bCs/>
          <w:color w:val="auto"/>
          <w:sz w:val="28"/>
          <w:szCs w:val="28"/>
        </w:rPr>
        <w:t>《</w:t>
      </w:r>
      <w:r>
        <w:rPr>
          <w:rFonts w:ascii="Times New Roman" w:hAnsi="Times New Roman" w:cs="Times New Roman"/>
          <w:bCs/>
          <w:color w:val="auto"/>
          <w:sz w:val="28"/>
          <w:szCs w:val="28"/>
        </w:rPr>
        <w:t>牛支原体PCR检测方法</w:t>
      </w:r>
      <w:r>
        <w:rPr>
          <w:rFonts w:hint="eastAsia" w:ascii="Times New Roman" w:hAnsi="Times New Roman" w:cs="Times New Roman"/>
          <w:bCs/>
          <w:color w:val="auto"/>
          <w:sz w:val="28"/>
          <w:szCs w:val="28"/>
        </w:rPr>
        <w:t>》检测结果阳性1</w:t>
      </w:r>
      <w:r>
        <w:rPr>
          <w:rFonts w:ascii="Times New Roman" w:hAnsi="Times New Roman" w:cs="Times New Roman"/>
          <w:bCs/>
          <w:color w:val="auto"/>
          <w:sz w:val="28"/>
          <w:szCs w:val="28"/>
        </w:rPr>
        <w:t>1</w:t>
      </w:r>
      <w:r>
        <w:rPr>
          <w:rFonts w:hint="eastAsia" w:ascii="Times New Roman" w:hAnsi="Times New Roman" w:cs="Times New Roman"/>
          <w:bCs/>
          <w:color w:val="auto"/>
          <w:sz w:val="28"/>
          <w:szCs w:val="28"/>
        </w:rPr>
        <w:t>份，阴性1</w:t>
      </w:r>
      <w:r>
        <w:rPr>
          <w:rFonts w:ascii="Times New Roman" w:hAnsi="Times New Roman" w:cs="Times New Roman"/>
          <w:bCs/>
          <w:color w:val="auto"/>
          <w:sz w:val="28"/>
          <w:szCs w:val="28"/>
        </w:rPr>
        <w:t>50</w:t>
      </w:r>
      <w:r>
        <w:rPr>
          <w:rFonts w:hint="eastAsia" w:ascii="Times New Roman" w:hAnsi="Times New Roman" w:cs="Times New Roman"/>
          <w:bCs/>
          <w:color w:val="auto"/>
          <w:sz w:val="28"/>
          <w:szCs w:val="28"/>
        </w:rPr>
        <w:t>份。检验方法检测结果符合率为1</w:t>
      </w:r>
      <w:r>
        <w:rPr>
          <w:rFonts w:ascii="Times New Roman" w:hAnsi="Times New Roman" w:cs="Times New Roman"/>
          <w:bCs/>
          <w:color w:val="auto"/>
          <w:sz w:val="28"/>
          <w:szCs w:val="28"/>
        </w:rPr>
        <w:t>00</w:t>
      </w:r>
      <w:r>
        <w:rPr>
          <w:rFonts w:hint="eastAsia" w:ascii="Times New Roman" w:hAnsi="Times New Roman" w:cs="Times New Roman"/>
          <w:bCs/>
          <w:color w:val="auto"/>
          <w:sz w:val="28"/>
          <w:szCs w:val="28"/>
        </w:rPr>
        <w:t>%。</w:t>
      </w:r>
    </w:p>
    <w:p w14:paraId="75CFBD51">
      <w:pPr>
        <w:ind w:firstLine="560" w:firstLineChars="200"/>
        <w:rPr>
          <w:rFonts w:ascii="Times New Roman" w:hAnsi="Times New Roman" w:eastAsia="宋体" w:cs="Times New Roman"/>
          <w:color w:val="auto"/>
          <w:kern w:val="0"/>
          <w:sz w:val="24"/>
          <w:szCs w:val="24"/>
        </w:rPr>
      </w:pPr>
      <w:r>
        <w:rPr>
          <w:rFonts w:hint="eastAsia" w:ascii="Times New Roman" w:hAnsi="Times New Roman" w:cs="Times New Roman"/>
          <w:bCs/>
          <w:color w:val="auto"/>
          <w:sz w:val="28"/>
          <w:szCs w:val="28"/>
        </w:rPr>
        <w:t>本标准选择了牛支原体常规PCR方法检测为阳性的样品作为评估样本，对本标准建立的检测方法进行验证，说明本标准方法特异性强，与常规PCR方法在阳性样品的检测上能够互相印证。但本次检测中样本量和采集范围均有限，结果不具有牛支原体流行病学代表性。我国为OIE公布的牛传染性胸膜无疫国家，本标准评估样品的丝状支原体丝状亚种检测结果均为阴性，未出现假阳性，从病原学角度也证实了我国的无疫状态。说明本标准肺炎临床试验结果证实本检测方法性能稳定、检测结果准确，具有良好的临床使用价值。</w:t>
      </w:r>
    </w:p>
    <w:p w14:paraId="2F07ECDF">
      <w:pPr>
        <w:spacing w:line="360" w:lineRule="auto"/>
        <w:ind w:firstLine="560" w:firstLineChars="200"/>
        <w:rPr>
          <w:rFonts w:ascii="Times New Roman" w:hAnsi="Times New Roman" w:cs="Times New Roman"/>
          <w:color w:val="auto"/>
          <w:sz w:val="28"/>
          <w:szCs w:val="28"/>
        </w:rPr>
      </w:pPr>
      <w:r>
        <w:rPr>
          <w:rFonts w:ascii="Times New Roman" w:hAnsi="Times New Roman" w:cs="Times New Roman"/>
          <w:color w:val="auto"/>
          <w:sz w:val="28"/>
          <w:szCs w:val="28"/>
        </w:rPr>
        <w:t>（二）预期效果</w:t>
      </w:r>
    </w:p>
    <w:p w14:paraId="5A7FD549">
      <w:pPr>
        <w:spacing w:line="360" w:lineRule="auto"/>
        <w:ind w:firstLine="560" w:firstLineChars="200"/>
        <w:rPr>
          <w:rFonts w:ascii="Times New Roman" w:hAnsi="Times New Roman" w:cs="Times New Roman"/>
          <w:color w:val="auto"/>
          <w:sz w:val="28"/>
          <w:szCs w:val="28"/>
        </w:rPr>
      </w:pPr>
      <w:r>
        <w:rPr>
          <w:rFonts w:ascii="Times New Roman" w:hAnsi="Times New Roman" w:cs="Times New Roman"/>
          <w:color w:val="auto"/>
          <w:sz w:val="28"/>
          <w:szCs w:val="28"/>
        </w:rPr>
        <w:t>本标准遵循标准起草程序，通过大量的实践调查研究工作，结合相关文件规定，制定适用于当前形势和状况的</w:t>
      </w:r>
      <w:r>
        <w:rPr>
          <w:rFonts w:hint="eastAsia" w:ascii="Times New Roman" w:hAnsi="Times New Roman" w:cs="Times New Roman"/>
          <w:color w:val="auto"/>
          <w:sz w:val="28"/>
          <w:szCs w:val="28"/>
        </w:rPr>
        <w:t>丝状支原体丝状亚种和牛支原体的检测标准</w:t>
      </w:r>
      <w:r>
        <w:rPr>
          <w:rFonts w:ascii="Times New Roman" w:hAnsi="Times New Roman" w:cs="Times New Roman"/>
          <w:color w:val="auto"/>
          <w:sz w:val="28"/>
          <w:szCs w:val="28"/>
        </w:rPr>
        <w:t>。标准实施后，</w:t>
      </w:r>
      <w:r>
        <w:rPr>
          <w:rFonts w:hint="eastAsia" w:ascii="Times New Roman" w:hAnsi="Times New Roman" w:cs="Times New Roman"/>
          <w:color w:val="auto"/>
          <w:sz w:val="28"/>
          <w:szCs w:val="28"/>
        </w:rPr>
        <w:t>将</w:t>
      </w:r>
      <w:r>
        <w:rPr>
          <w:rFonts w:ascii="Times New Roman" w:hAnsi="Times New Roman" w:cs="Times New Roman"/>
          <w:color w:val="auto"/>
          <w:sz w:val="28"/>
          <w:szCs w:val="28"/>
        </w:rPr>
        <w:t>使</w:t>
      </w:r>
      <w:r>
        <w:rPr>
          <w:rFonts w:hint="eastAsia" w:ascii="Times New Roman" w:hAnsi="Times New Roman" w:cs="Times New Roman"/>
          <w:color w:val="auto"/>
          <w:sz w:val="28"/>
          <w:szCs w:val="28"/>
        </w:rPr>
        <w:t>这两种病的</w:t>
      </w:r>
      <w:r>
        <w:rPr>
          <w:rFonts w:ascii="Times New Roman" w:hAnsi="Times New Roman" w:cs="Times New Roman"/>
          <w:color w:val="auto"/>
          <w:sz w:val="28"/>
          <w:szCs w:val="28"/>
        </w:rPr>
        <w:t>防控和净化有办法可依，为</w:t>
      </w:r>
      <w:r>
        <w:rPr>
          <w:rFonts w:hint="eastAsia" w:ascii="Times New Roman" w:hAnsi="Times New Roman" w:cs="Times New Roman"/>
          <w:color w:val="auto"/>
          <w:sz w:val="28"/>
          <w:szCs w:val="28"/>
        </w:rPr>
        <w:t>我区牛的</w:t>
      </w:r>
      <w:r>
        <w:rPr>
          <w:rFonts w:ascii="Times New Roman" w:hAnsi="Times New Roman" w:cs="Times New Roman"/>
          <w:color w:val="auto"/>
          <w:sz w:val="28"/>
          <w:szCs w:val="28"/>
        </w:rPr>
        <w:t>种群健康和动物产品质量安全提供坚实基础。</w:t>
      </w:r>
    </w:p>
    <w:p w14:paraId="4CDE4E5C">
      <w:pPr>
        <w:spacing w:line="360" w:lineRule="auto"/>
        <w:ind w:firstLine="560" w:firstLineChars="200"/>
        <w:rPr>
          <w:rFonts w:ascii="Times New Roman" w:hAnsi="Times New Roman" w:cs="Times New Roman"/>
          <w:color w:val="auto"/>
          <w:sz w:val="28"/>
          <w:szCs w:val="28"/>
        </w:rPr>
      </w:pPr>
      <w:r>
        <w:rPr>
          <w:rFonts w:ascii="Times New Roman" w:hAnsi="Times New Roman" w:cs="Times New Roman"/>
          <w:color w:val="auto"/>
          <w:sz w:val="28"/>
          <w:szCs w:val="28"/>
        </w:rPr>
        <w:t>五、国内标准简要说明</w:t>
      </w:r>
    </w:p>
    <w:p w14:paraId="680F14DF">
      <w:pPr>
        <w:pStyle w:val="2"/>
        <w:shd w:val="clear" w:color="auto" w:fill="FFFFFF"/>
        <w:spacing w:before="0" w:beforeAutospacing="0" w:after="0" w:afterAutospacing="0"/>
        <w:ind w:firstLine="560" w:firstLineChars="200"/>
        <w:rPr>
          <w:rFonts w:ascii="Times New Roman" w:hAnsi="Times New Roman" w:cs="Times New Roman" w:eastAsiaTheme="minorEastAsia"/>
          <w:b w:val="0"/>
          <w:bCs w:val="0"/>
          <w:color w:val="auto"/>
          <w:kern w:val="2"/>
          <w:sz w:val="28"/>
          <w:szCs w:val="28"/>
        </w:rPr>
      </w:pPr>
      <w:r>
        <w:rPr>
          <w:rFonts w:hint="eastAsia" w:ascii="Times New Roman" w:hAnsi="Times New Roman" w:cs="Times New Roman"/>
          <w:b w:val="0"/>
          <w:color w:val="auto"/>
          <w:sz w:val="28"/>
          <w:szCs w:val="28"/>
        </w:rPr>
        <w:t>目前</w:t>
      </w:r>
      <w:r>
        <w:rPr>
          <w:rFonts w:ascii="Times New Roman" w:hAnsi="Times New Roman" w:cs="Times New Roman"/>
          <w:b w:val="0"/>
          <w:color w:val="auto"/>
          <w:sz w:val="28"/>
          <w:szCs w:val="28"/>
        </w:rPr>
        <w:t>国内有</w:t>
      </w:r>
      <w:r>
        <w:rPr>
          <w:rFonts w:hint="eastAsia" w:ascii="Times New Roman" w:hAnsi="Times New Roman" w:cs="Times New Roman"/>
          <w:b w:val="0"/>
          <w:color w:val="auto"/>
          <w:sz w:val="28"/>
          <w:szCs w:val="28"/>
        </w:rPr>
        <w:t>6</w:t>
      </w:r>
      <w:r>
        <w:rPr>
          <w:rFonts w:ascii="Times New Roman" w:hAnsi="Times New Roman" w:cs="Times New Roman"/>
          <w:b w:val="0"/>
          <w:color w:val="auto"/>
          <w:sz w:val="28"/>
          <w:szCs w:val="28"/>
        </w:rPr>
        <w:t>个分别与牛支原体和丝状支原体诊断及检测相关的标准，分别是《DB37/T 3573-2019 牛支原体诊断技术规程》、《DB42/T 1024-2014 牛支原体肺炎诊断技术规程》、《NY/T 3234-2018 牛支原体PCR检测方法》、《DB45/T 1506-2017牛支原体的检测 多重聚合酶链反应法》、《DB51/T 2297-2016 丝状支原体簇PCR检测方法》和《T/CVMA 132</w:t>
      </w:r>
      <w:r>
        <w:rPr>
          <w:rFonts w:hint="eastAsia" w:ascii="Times New Roman" w:hAnsi="Times New Roman" w:cs="Times New Roman"/>
          <w:b w:val="0"/>
          <w:color w:val="auto"/>
          <w:sz w:val="28"/>
          <w:szCs w:val="28"/>
        </w:rPr>
        <w:t>-</w:t>
      </w:r>
      <w:r>
        <w:rPr>
          <w:rFonts w:ascii="Times New Roman" w:hAnsi="Times New Roman" w:cs="Times New Roman"/>
          <w:b w:val="0"/>
          <w:color w:val="auto"/>
          <w:sz w:val="28"/>
          <w:szCs w:val="28"/>
        </w:rPr>
        <w:t>2023丝状支原体山羊亚种实时荧光PCR检测方法》</w:t>
      </w:r>
      <w:r>
        <w:rPr>
          <w:rFonts w:hint="eastAsia" w:ascii="Times New Roman" w:hAnsi="Times New Roman" w:cs="Times New Roman"/>
          <w:b w:val="0"/>
          <w:color w:val="auto"/>
          <w:sz w:val="28"/>
          <w:szCs w:val="28"/>
        </w:rPr>
        <w:t>。</w:t>
      </w:r>
    </w:p>
    <w:p w14:paraId="61BDFCF3">
      <w:pPr>
        <w:spacing w:line="360" w:lineRule="auto"/>
        <w:ind w:firstLine="560" w:firstLineChars="200"/>
        <w:rPr>
          <w:rFonts w:ascii="Times New Roman" w:hAnsi="Times New Roman" w:cs="Times New Roman"/>
          <w:sz w:val="28"/>
          <w:szCs w:val="28"/>
        </w:rPr>
      </w:pPr>
      <w:r>
        <w:rPr>
          <w:rFonts w:hint="eastAsia" w:ascii="Times New Roman" w:hAnsi="Times New Roman" w:cs="Times New Roman"/>
          <w:color w:val="auto"/>
          <w:sz w:val="28"/>
          <w:szCs w:val="28"/>
        </w:rPr>
        <w:t>与上述标准相比，</w:t>
      </w:r>
      <w:r>
        <w:rPr>
          <w:rFonts w:ascii="Times New Roman" w:hAnsi="Times New Roman" w:cs="Times New Roman"/>
          <w:color w:val="auto"/>
          <w:sz w:val="28"/>
          <w:szCs w:val="28"/>
        </w:rPr>
        <w:t>本标</w:t>
      </w:r>
      <w:bookmarkEnd w:id="0"/>
      <w:r>
        <w:rPr>
          <w:rFonts w:ascii="Times New Roman" w:hAnsi="Times New Roman" w:cs="Times New Roman"/>
          <w:sz w:val="28"/>
          <w:szCs w:val="28"/>
        </w:rPr>
        <w:t>准的先进性体现在如下方面：</w:t>
      </w:r>
    </w:p>
    <w:p w14:paraId="763090D0">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（1）</w:t>
      </w:r>
      <w:r>
        <w:rPr>
          <w:rFonts w:hint="eastAsia" w:ascii="Times New Roman" w:hAnsi="Times New Roman" w:cs="Times New Roman"/>
          <w:sz w:val="28"/>
          <w:szCs w:val="28"/>
        </w:rPr>
        <w:t>涵盖病种不同</w:t>
      </w:r>
      <w:r>
        <w:rPr>
          <w:rFonts w:ascii="Times New Roman" w:hAnsi="Times New Roman" w:cs="Times New Roman"/>
          <w:sz w:val="28"/>
          <w:szCs w:val="28"/>
        </w:rPr>
        <w:t>：上述</w:t>
      </w:r>
      <w:r>
        <w:rPr>
          <w:rFonts w:hint="eastAsia" w:ascii="Times New Roman" w:hAnsi="Times New Roman" w:cs="Times New Roman"/>
          <w:sz w:val="28"/>
          <w:szCs w:val="28"/>
        </w:rPr>
        <w:t>6个</w:t>
      </w:r>
      <w:r>
        <w:rPr>
          <w:rFonts w:ascii="Times New Roman" w:hAnsi="Times New Roman" w:cs="Times New Roman"/>
          <w:sz w:val="28"/>
          <w:szCs w:val="28"/>
        </w:rPr>
        <w:t>标准仅针对</w:t>
      </w:r>
      <w:r>
        <w:rPr>
          <w:rFonts w:hint="eastAsia" w:ascii="Times New Roman" w:hAnsi="Times New Roman" w:cs="Times New Roman"/>
          <w:sz w:val="28"/>
          <w:szCs w:val="28"/>
        </w:rPr>
        <w:t>丝状支原体其他亚种或牛支原体的检测和/或诊断</w:t>
      </w:r>
      <w:r>
        <w:rPr>
          <w:rFonts w:ascii="Times New Roman" w:hAnsi="Times New Roman" w:cs="Times New Roman"/>
          <w:sz w:val="28"/>
          <w:szCs w:val="28"/>
        </w:rPr>
        <w:t>，</w:t>
      </w:r>
      <w:r>
        <w:rPr>
          <w:rFonts w:hint="eastAsia" w:ascii="Times New Roman" w:hAnsi="Times New Roman" w:cs="Times New Roman"/>
          <w:sz w:val="28"/>
          <w:szCs w:val="28"/>
        </w:rPr>
        <w:t>仅针对单个病种和单种病原体</w:t>
      </w:r>
      <w:r>
        <w:rPr>
          <w:rFonts w:ascii="Times New Roman" w:hAnsi="Times New Roman" w:cs="Times New Roman"/>
          <w:sz w:val="28"/>
          <w:szCs w:val="28"/>
        </w:rPr>
        <w:t>，而本标准</w:t>
      </w:r>
      <w:r>
        <w:rPr>
          <w:rFonts w:hint="eastAsia" w:ascii="Times New Roman" w:hAnsi="Times New Roman" w:cs="Times New Roman"/>
          <w:sz w:val="28"/>
          <w:szCs w:val="28"/>
        </w:rPr>
        <w:t>是对两种病原体同时进行检测和鉴别诊断。</w:t>
      </w:r>
    </w:p>
    <w:p w14:paraId="2D76512C">
      <w:pPr>
        <w:spacing w:line="360" w:lineRule="auto"/>
        <w:ind w:firstLine="560" w:firstLineChars="200"/>
        <w:rPr>
          <w:rFonts w:ascii="Times New Roman" w:hAnsi="Times New Roman" w:cs="Times New Roman"/>
          <w:sz w:val="28"/>
          <w:szCs w:val="28"/>
        </w:rPr>
      </w:pPr>
      <w:r>
        <w:rPr>
          <w:rFonts w:hint="eastAsia" w:ascii="Times New Roman" w:hAnsi="Times New Roman" w:cs="Times New Roman"/>
          <w:sz w:val="28"/>
          <w:szCs w:val="28"/>
        </w:rPr>
        <w:t>（2）采用更先进的检测技术：</w:t>
      </w:r>
    </w:p>
    <w:p w14:paraId="752B7D8E">
      <w:pPr>
        <w:spacing w:line="360" w:lineRule="auto"/>
        <w:ind w:firstLine="560" w:firstLineChars="200"/>
        <w:rPr>
          <w:rFonts w:ascii="Times New Roman" w:hAnsi="Times New Roman" w:cs="Times New Roman"/>
          <w:sz w:val="28"/>
          <w:szCs w:val="28"/>
        </w:rPr>
      </w:pPr>
      <w:r>
        <w:rPr>
          <w:rFonts w:hint="eastAsia" w:ascii="Times New Roman" w:hAnsi="Times New Roman" w:cs="Times New Roman"/>
          <w:sz w:val="28"/>
          <w:szCs w:val="28"/>
        </w:rPr>
        <w:t>农业行业标准</w:t>
      </w:r>
      <w:r>
        <w:rPr>
          <w:rFonts w:ascii="Times New Roman" w:hAnsi="Times New Roman" w:cs="Times New Roman"/>
          <w:sz w:val="28"/>
          <w:szCs w:val="28"/>
        </w:rPr>
        <w:t>《NY/T 3234-2018 牛支原体PCR检测方法》</w:t>
      </w:r>
      <w:r>
        <w:rPr>
          <w:rFonts w:hint="eastAsia" w:ascii="Times New Roman" w:hAnsi="Times New Roman" w:cs="Times New Roman"/>
          <w:sz w:val="28"/>
          <w:szCs w:val="28"/>
        </w:rPr>
        <w:t>、地方</w:t>
      </w:r>
      <w:r>
        <w:rPr>
          <w:rFonts w:ascii="Times New Roman" w:hAnsi="Times New Roman" w:cs="Times New Roman"/>
          <w:sz w:val="28"/>
          <w:szCs w:val="28"/>
        </w:rPr>
        <w:t>标准《DB37/T 3573-2019 牛支原体诊断技术规程》</w:t>
      </w:r>
      <w:r>
        <w:rPr>
          <w:rFonts w:hint="eastAsia" w:ascii="Times New Roman" w:hAnsi="Times New Roman" w:cs="Times New Roman"/>
          <w:sz w:val="28"/>
          <w:szCs w:val="28"/>
        </w:rPr>
        <w:t>、</w:t>
      </w:r>
      <w:r>
        <w:rPr>
          <w:rFonts w:ascii="Times New Roman" w:hAnsi="Times New Roman" w:cs="Times New Roman"/>
          <w:sz w:val="28"/>
          <w:szCs w:val="28"/>
        </w:rPr>
        <w:t>《DB42/T 1024-2014 牛支原体肺炎诊断技术规程》</w:t>
      </w:r>
      <w:r>
        <w:rPr>
          <w:rFonts w:hint="eastAsia" w:ascii="Times New Roman" w:hAnsi="Times New Roman" w:cs="Times New Roman"/>
          <w:sz w:val="28"/>
          <w:szCs w:val="28"/>
        </w:rPr>
        <w:t>和</w:t>
      </w:r>
      <w:r>
        <w:rPr>
          <w:rFonts w:ascii="Times New Roman" w:hAnsi="Times New Roman" w:cs="Times New Roman"/>
          <w:sz w:val="28"/>
          <w:szCs w:val="28"/>
        </w:rPr>
        <w:t>《DB51/T 2297-2016 丝状支原体簇PCR检测方法》</w:t>
      </w:r>
      <w:r>
        <w:rPr>
          <w:rFonts w:hint="eastAsia" w:ascii="Times New Roman" w:hAnsi="Times New Roman" w:cs="Times New Roman"/>
          <w:sz w:val="28"/>
          <w:szCs w:val="28"/>
        </w:rPr>
        <w:t xml:space="preserve">均采用普通PCR检测方法。普通PCR方法不仅在敏感度和特异性方面不及荧光定量PCR，操作步骤也较为繁琐，不利于临床检测的具体实施。 </w:t>
      </w:r>
    </w:p>
    <w:p w14:paraId="7B122E4F">
      <w:pPr>
        <w:spacing w:line="360" w:lineRule="auto"/>
        <w:ind w:firstLine="560" w:firstLineChars="200"/>
        <w:rPr>
          <w:rFonts w:ascii="Times New Roman" w:hAnsi="Times New Roman" w:cs="Times New Roman"/>
          <w:sz w:val="28"/>
          <w:szCs w:val="28"/>
        </w:rPr>
      </w:pPr>
      <w:r>
        <w:rPr>
          <w:rFonts w:hint="eastAsia" w:ascii="Times New Roman" w:hAnsi="Times New Roman" w:cs="Times New Roman"/>
          <w:sz w:val="28"/>
          <w:szCs w:val="28"/>
        </w:rPr>
        <w:t>（3）生物安全有保障，环境友好程度高：本标准方法采用人工方法合成阳性质控品，不需从阳性样品中分离病原作为质控，降低了这两种病原暴露和扩散的风险。同时，这里的阳性质控品本质上是核酸，不具有活性和感</w:t>
      </w:r>
      <w:r>
        <w:rPr>
          <w:rFonts w:hint="eastAsia" w:ascii="Times New Roman" w:hAnsi="Times New Roman" w:cs="Times New Roman"/>
          <w:color w:val="auto"/>
          <w:sz w:val="28"/>
          <w:szCs w:val="28"/>
        </w:rPr>
        <w:t>染性，符合《农业部关于进一步规范高致病性动物病原微生物实验活动审批工作的通知》（农医发[2008]27号）的要求，并未对丝状支原体丝状亚种的基因组直接操作，在合理处置的情况下，不会对实验室及外界环境造成污染。</w:t>
      </w:r>
    </w:p>
    <w:p w14:paraId="3A36CC51">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六、采用国际标准的程度及水平</w:t>
      </w:r>
    </w:p>
    <w:p w14:paraId="6CCE144C">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本标准为自主制定，没有采用国际标准。</w:t>
      </w:r>
    </w:p>
    <w:p w14:paraId="3F52C11D">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七、重大分歧意见的处理经过和依据</w:t>
      </w:r>
    </w:p>
    <w:p w14:paraId="6B9C51B4">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目前无重大分歧意见。</w:t>
      </w:r>
    </w:p>
    <w:p w14:paraId="56E54261">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八、自我承诺</w:t>
      </w:r>
    </w:p>
    <w:p w14:paraId="696AE7F3">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本团体标准规定的内容符合国家有关法律法规，各项指标不低于强制性标准要求，没有侵犯他人合法权益。</w:t>
      </w:r>
    </w:p>
    <w:p w14:paraId="7284A994">
      <w:pPr>
        <w:spacing w:line="360" w:lineRule="auto"/>
        <w:ind w:firstLine="560" w:firstLineChars="200"/>
        <w:rPr>
          <w:rFonts w:ascii="Times New Roman" w:hAnsi="Times New Roman" w:cs="Times New Roman"/>
          <w:sz w:val="28"/>
          <w:szCs w:val="28"/>
        </w:rPr>
      </w:pPr>
    </w:p>
    <w:p w14:paraId="158F49EF">
      <w:pPr>
        <w:spacing w:line="360" w:lineRule="auto"/>
        <w:ind w:firstLine="560" w:firstLineChars="200"/>
        <w:jc w:val="right"/>
        <w:rPr>
          <w:rFonts w:ascii="Times New Roman" w:hAnsi="Times New Roman" w:cs="Times New Roman"/>
          <w:sz w:val="28"/>
          <w:szCs w:val="28"/>
        </w:rPr>
      </w:pPr>
      <w:r>
        <w:rPr>
          <w:rFonts w:ascii="Times New Roman" w:hAnsi="Times New Roman" w:cs="Times New Roman"/>
          <w:sz w:val="28"/>
          <w:szCs w:val="28"/>
        </w:rPr>
        <w:t>团体标准《奶水牛场重点疫病净化技术规范》编制工作小组</w:t>
      </w:r>
    </w:p>
    <w:p w14:paraId="16CEE065">
      <w:pPr>
        <w:spacing w:line="360" w:lineRule="auto"/>
        <w:ind w:firstLine="560" w:firstLineChars="200"/>
        <w:jc w:val="right"/>
        <w:rPr>
          <w:rFonts w:ascii="Times New Roman" w:hAnsi="Times New Roman" w:cs="Times New Roman"/>
          <w:sz w:val="28"/>
          <w:szCs w:val="28"/>
        </w:rPr>
      </w:pPr>
      <w:r>
        <w:rPr>
          <w:rFonts w:ascii="Times New Roman" w:hAnsi="Times New Roman" w:cs="Times New Roman"/>
          <w:sz w:val="28"/>
          <w:szCs w:val="28"/>
        </w:rPr>
        <w:t>202</w:t>
      </w:r>
      <w:r>
        <w:rPr>
          <w:rFonts w:hint="eastAsia" w:ascii="Times New Roman" w:hAnsi="Times New Roman" w:cs="Times New Roman"/>
          <w:sz w:val="28"/>
          <w:szCs w:val="28"/>
        </w:rPr>
        <w:t>4</w:t>
      </w:r>
      <w:r>
        <w:rPr>
          <w:rFonts w:ascii="Times New Roman" w:hAnsi="Times New Roman" w:cs="Times New Roman"/>
          <w:sz w:val="28"/>
          <w:szCs w:val="28"/>
        </w:rPr>
        <w:t>年</w:t>
      </w:r>
      <w:r>
        <w:rPr>
          <w:rFonts w:hint="eastAsia" w:ascii="Times New Roman" w:hAnsi="Times New Roman" w:cs="Times New Roman"/>
          <w:sz w:val="28"/>
          <w:szCs w:val="28"/>
        </w:rPr>
        <w:t>10</w:t>
      </w:r>
      <w:r>
        <w:rPr>
          <w:rFonts w:ascii="Times New Roman" w:hAnsi="Times New Roman" w:cs="Times New Roman"/>
          <w:sz w:val="28"/>
          <w:szCs w:val="28"/>
        </w:rPr>
        <w:t>月</w:t>
      </w:r>
      <w:r>
        <w:rPr>
          <w:rFonts w:hint="eastAsia" w:ascii="Times New Roman" w:hAnsi="Times New Roman" w:cs="Times New Roman"/>
          <w:sz w:val="28"/>
          <w:szCs w:val="28"/>
        </w:rPr>
        <w:t>2</w:t>
      </w:r>
      <w:r>
        <w:rPr>
          <w:rFonts w:ascii="Times New Roman" w:hAnsi="Times New Roman" w:cs="Times New Roman"/>
          <w:sz w:val="28"/>
          <w:szCs w:val="28"/>
        </w:rPr>
        <w:t>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FhNzdhYjI0Yjk2YWEyNzcwZGMwMzQwOTQyMzI3NGMifQ=="/>
  </w:docVars>
  <w:rsids>
    <w:rsidRoot w:val="0093246D"/>
    <w:rsid w:val="0001676F"/>
    <w:rsid w:val="00060696"/>
    <w:rsid w:val="00060C9F"/>
    <w:rsid w:val="00077C6A"/>
    <w:rsid w:val="00085F56"/>
    <w:rsid w:val="000A7D90"/>
    <w:rsid w:val="000B172B"/>
    <w:rsid w:val="000C23C1"/>
    <w:rsid w:val="000C3808"/>
    <w:rsid w:val="000C5CAB"/>
    <w:rsid w:val="000D17CC"/>
    <w:rsid w:val="000D2AA0"/>
    <w:rsid w:val="000E20BE"/>
    <w:rsid w:val="000E3E5D"/>
    <w:rsid w:val="000E68B9"/>
    <w:rsid w:val="000F15D2"/>
    <w:rsid w:val="001055D9"/>
    <w:rsid w:val="00110BD8"/>
    <w:rsid w:val="00127A4C"/>
    <w:rsid w:val="0014659B"/>
    <w:rsid w:val="001528C3"/>
    <w:rsid w:val="00180618"/>
    <w:rsid w:val="00181246"/>
    <w:rsid w:val="00194DD1"/>
    <w:rsid w:val="0019791A"/>
    <w:rsid w:val="00197C41"/>
    <w:rsid w:val="001B1258"/>
    <w:rsid w:val="001B32B4"/>
    <w:rsid w:val="001B3699"/>
    <w:rsid w:val="001B5380"/>
    <w:rsid w:val="001C483A"/>
    <w:rsid w:val="001C7F24"/>
    <w:rsid w:val="001D0BCB"/>
    <w:rsid w:val="001D1101"/>
    <w:rsid w:val="001D3215"/>
    <w:rsid w:val="001D4E8A"/>
    <w:rsid w:val="001E2BB9"/>
    <w:rsid w:val="001E5972"/>
    <w:rsid w:val="001E60F3"/>
    <w:rsid w:val="001F069E"/>
    <w:rsid w:val="001F3078"/>
    <w:rsid w:val="00203F03"/>
    <w:rsid w:val="0021465B"/>
    <w:rsid w:val="0021765D"/>
    <w:rsid w:val="002214BB"/>
    <w:rsid w:val="002265BA"/>
    <w:rsid w:val="0024128B"/>
    <w:rsid w:val="00264D94"/>
    <w:rsid w:val="00264F66"/>
    <w:rsid w:val="00267385"/>
    <w:rsid w:val="00286BDC"/>
    <w:rsid w:val="00287DBC"/>
    <w:rsid w:val="00291694"/>
    <w:rsid w:val="002B1A62"/>
    <w:rsid w:val="002B4848"/>
    <w:rsid w:val="002D23C2"/>
    <w:rsid w:val="003105A4"/>
    <w:rsid w:val="0032044F"/>
    <w:rsid w:val="0032120E"/>
    <w:rsid w:val="00351CDA"/>
    <w:rsid w:val="0036352F"/>
    <w:rsid w:val="00381432"/>
    <w:rsid w:val="0038439C"/>
    <w:rsid w:val="00395967"/>
    <w:rsid w:val="003A07AE"/>
    <w:rsid w:val="003B3CE4"/>
    <w:rsid w:val="003B5075"/>
    <w:rsid w:val="003B6FA8"/>
    <w:rsid w:val="003C643B"/>
    <w:rsid w:val="003C65F1"/>
    <w:rsid w:val="003C6BA4"/>
    <w:rsid w:val="003C6EEA"/>
    <w:rsid w:val="003E68CE"/>
    <w:rsid w:val="004251EF"/>
    <w:rsid w:val="0042656E"/>
    <w:rsid w:val="00440E66"/>
    <w:rsid w:val="00444560"/>
    <w:rsid w:val="00455222"/>
    <w:rsid w:val="00456313"/>
    <w:rsid w:val="00457112"/>
    <w:rsid w:val="00467C2E"/>
    <w:rsid w:val="0047740A"/>
    <w:rsid w:val="0048145D"/>
    <w:rsid w:val="0048479A"/>
    <w:rsid w:val="0049013D"/>
    <w:rsid w:val="004951A1"/>
    <w:rsid w:val="004A4C2F"/>
    <w:rsid w:val="004B6F7A"/>
    <w:rsid w:val="004D5014"/>
    <w:rsid w:val="00503668"/>
    <w:rsid w:val="00514813"/>
    <w:rsid w:val="00522865"/>
    <w:rsid w:val="005318A6"/>
    <w:rsid w:val="00537444"/>
    <w:rsid w:val="005420E6"/>
    <w:rsid w:val="005439B2"/>
    <w:rsid w:val="005745AF"/>
    <w:rsid w:val="00584B9B"/>
    <w:rsid w:val="005867C9"/>
    <w:rsid w:val="0058713F"/>
    <w:rsid w:val="005A37E9"/>
    <w:rsid w:val="005A4A90"/>
    <w:rsid w:val="005B6DF5"/>
    <w:rsid w:val="005D08EB"/>
    <w:rsid w:val="005D5D49"/>
    <w:rsid w:val="005E5EB9"/>
    <w:rsid w:val="005E5F01"/>
    <w:rsid w:val="006003AA"/>
    <w:rsid w:val="00611C01"/>
    <w:rsid w:val="006129DC"/>
    <w:rsid w:val="006328A1"/>
    <w:rsid w:val="006342BE"/>
    <w:rsid w:val="00656279"/>
    <w:rsid w:val="0066356E"/>
    <w:rsid w:val="00666B44"/>
    <w:rsid w:val="0068416B"/>
    <w:rsid w:val="00686B37"/>
    <w:rsid w:val="006B22C0"/>
    <w:rsid w:val="006C3B0B"/>
    <w:rsid w:val="006D51F6"/>
    <w:rsid w:val="006D5594"/>
    <w:rsid w:val="006D72B7"/>
    <w:rsid w:val="006E2495"/>
    <w:rsid w:val="00703F14"/>
    <w:rsid w:val="00726D7F"/>
    <w:rsid w:val="00737DFA"/>
    <w:rsid w:val="007407D8"/>
    <w:rsid w:val="00742649"/>
    <w:rsid w:val="0075779B"/>
    <w:rsid w:val="00770F21"/>
    <w:rsid w:val="00773DB6"/>
    <w:rsid w:val="00785BC2"/>
    <w:rsid w:val="007871F3"/>
    <w:rsid w:val="007A240A"/>
    <w:rsid w:val="007B5E3D"/>
    <w:rsid w:val="007C2651"/>
    <w:rsid w:val="007D378D"/>
    <w:rsid w:val="007E2719"/>
    <w:rsid w:val="007E530F"/>
    <w:rsid w:val="007F21D3"/>
    <w:rsid w:val="007F557D"/>
    <w:rsid w:val="00805CF2"/>
    <w:rsid w:val="008425AE"/>
    <w:rsid w:val="0084418E"/>
    <w:rsid w:val="00845306"/>
    <w:rsid w:val="00856A0D"/>
    <w:rsid w:val="00861A7B"/>
    <w:rsid w:val="00892A11"/>
    <w:rsid w:val="008A196D"/>
    <w:rsid w:val="008A6173"/>
    <w:rsid w:val="008C1DF4"/>
    <w:rsid w:val="008C4E9C"/>
    <w:rsid w:val="008C4FD6"/>
    <w:rsid w:val="008C556A"/>
    <w:rsid w:val="008D2FA3"/>
    <w:rsid w:val="008D5CB3"/>
    <w:rsid w:val="008E12F0"/>
    <w:rsid w:val="008F03B3"/>
    <w:rsid w:val="00902214"/>
    <w:rsid w:val="00903417"/>
    <w:rsid w:val="0091067C"/>
    <w:rsid w:val="00923448"/>
    <w:rsid w:val="0093246D"/>
    <w:rsid w:val="00936634"/>
    <w:rsid w:val="0093677E"/>
    <w:rsid w:val="00941EA1"/>
    <w:rsid w:val="00957FB1"/>
    <w:rsid w:val="00966874"/>
    <w:rsid w:val="00977120"/>
    <w:rsid w:val="00980002"/>
    <w:rsid w:val="00980F39"/>
    <w:rsid w:val="00986C54"/>
    <w:rsid w:val="00986D30"/>
    <w:rsid w:val="009910CA"/>
    <w:rsid w:val="009A2DFD"/>
    <w:rsid w:val="009A6F35"/>
    <w:rsid w:val="009C1483"/>
    <w:rsid w:val="009C2FEE"/>
    <w:rsid w:val="009D12C0"/>
    <w:rsid w:val="009E1872"/>
    <w:rsid w:val="009E79BE"/>
    <w:rsid w:val="009F2D60"/>
    <w:rsid w:val="009F6C6E"/>
    <w:rsid w:val="00A070F4"/>
    <w:rsid w:val="00A12F58"/>
    <w:rsid w:val="00A17892"/>
    <w:rsid w:val="00A17F4F"/>
    <w:rsid w:val="00A21074"/>
    <w:rsid w:val="00A27634"/>
    <w:rsid w:val="00A34071"/>
    <w:rsid w:val="00A64469"/>
    <w:rsid w:val="00A74826"/>
    <w:rsid w:val="00A83EFF"/>
    <w:rsid w:val="00A87556"/>
    <w:rsid w:val="00A96BF7"/>
    <w:rsid w:val="00AA510D"/>
    <w:rsid w:val="00AD0469"/>
    <w:rsid w:val="00AD29EA"/>
    <w:rsid w:val="00AD7442"/>
    <w:rsid w:val="00AE6F93"/>
    <w:rsid w:val="00AE7ABE"/>
    <w:rsid w:val="00B0453A"/>
    <w:rsid w:val="00B33188"/>
    <w:rsid w:val="00B33B48"/>
    <w:rsid w:val="00B509E2"/>
    <w:rsid w:val="00B50E6F"/>
    <w:rsid w:val="00B524DA"/>
    <w:rsid w:val="00B54A1E"/>
    <w:rsid w:val="00B619B8"/>
    <w:rsid w:val="00B7700E"/>
    <w:rsid w:val="00B95774"/>
    <w:rsid w:val="00BB0AAF"/>
    <w:rsid w:val="00BC724D"/>
    <w:rsid w:val="00BD0C1E"/>
    <w:rsid w:val="00C04B82"/>
    <w:rsid w:val="00C06F92"/>
    <w:rsid w:val="00C1354A"/>
    <w:rsid w:val="00C23F7D"/>
    <w:rsid w:val="00C3220D"/>
    <w:rsid w:val="00C3252D"/>
    <w:rsid w:val="00C35E22"/>
    <w:rsid w:val="00C37995"/>
    <w:rsid w:val="00C60653"/>
    <w:rsid w:val="00C6334A"/>
    <w:rsid w:val="00C701E5"/>
    <w:rsid w:val="00CA2456"/>
    <w:rsid w:val="00CA4F6B"/>
    <w:rsid w:val="00CE0B93"/>
    <w:rsid w:val="00CE3607"/>
    <w:rsid w:val="00CE522A"/>
    <w:rsid w:val="00D013B7"/>
    <w:rsid w:val="00D06094"/>
    <w:rsid w:val="00D11728"/>
    <w:rsid w:val="00D14E00"/>
    <w:rsid w:val="00D26DF9"/>
    <w:rsid w:val="00D276CA"/>
    <w:rsid w:val="00D371B2"/>
    <w:rsid w:val="00D4441C"/>
    <w:rsid w:val="00D570AB"/>
    <w:rsid w:val="00D72B4A"/>
    <w:rsid w:val="00D7387E"/>
    <w:rsid w:val="00D8104C"/>
    <w:rsid w:val="00D816AB"/>
    <w:rsid w:val="00D830C9"/>
    <w:rsid w:val="00DA73AC"/>
    <w:rsid w:val="00DD3BA9"/>
    <w:rsid w:val="00DF034E"/>
    <w:rsid w:val="00DF0F45"/>
    <w:rsid w:val="00E03948"/>
    <w:rsid w:val="00E0634B"/>
    <w:rsid w:val="00E11C31"/>
    <w:rsid w:val="00E165A0"/>
    <w:rsid w:val="00E3385F"/>
    <w:rsid w:val="00E379C0"/>
    <w:rsid w:val="00E55A51"/>
    <w:rsid w:val="00E63836"/>
    <w:rsid w:val="00E73043"/>
    <w:rsid w:val="00E96E08"/>
    <w:rsid w:val="00EB4372"/>
    <w:rsid w:val="00EC09D9"/>
    <w:rsid w:val="00EC1980"/>
    <w:rsid w:val="00EC5824"/>
    <w:rsid w:val="00ED01F3"/>
    <w:rsid w:val="00EE28FC"/>
    <w:rsid w:val="00EF68AA"/>
    <w:rsid w:val="00F07508"/>
    <w:rsid w:val="00F57EAB"/>
    <w:rsid w:val="00F60526"/>
    <w:rsid w:val="00F84288"/>
    <w:rsid w:val="00F85874"/>
    <w:rsid w:val="00FA2442"/>
    <w:rsid w:val="00FA31A6"/>
    <w:rsid w:val="00FD590F"/>
    <w:rsid w:val="00FE5DB9"/>
    <w:rsid w:val="00FE7130"/>
    <w:rsid w:val="00FF55A6"/>
    <w:rsid w:val="342D68EE"/>
    <w:rsid w:val="3A7D3983"/>
    <w:rsid w:val="462A0902"/>
    <w:rsid w:val="4C2342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link w:val="18"/>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7"/>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Autospacing="1" w:afterAutospacing="1"/>
      <w:jc w:val="left"/>
    </w:pPr>
    <w:rPr>
      <w:rFonts w:cs="Times New Roman"/>
      <w:kern w:val="0"/>
      <w:sz w:val="24"/>
    </w:rPr>
  </w:style>
  <w:style w:type="character" w:styleId="9">
    <w:name w:val="Emphasis"/>
    <w:basedOn w:val="8"/>
    <w:qFormat/>
    <w:uiPriority w:val="20"/>
    <w:rPr>
      <w:i/>
      <w:iCs/>
    </w:rPr>
  </w:style>
  <w:style w:type="character" w:customStyle="1" w:styleId="10">
    <w:name w:val="页眉 Char"/>
    <w:basedOn w:val="8"/>
    <w:link w:val="5"/>
    <w:semiHidden/>
    <w:qFormat/>
    <w:uiPriority w:val="99"/>
    <w:rPr>
      <w:sz w:val="18"/>
      <w:szCs w:val="18"/>
    </w:rPr>
  </w:style>
  <w:style w:type="character" w:customStyle="1" w:styleId="11">
    <w:name w:val="页脚 Char"/>
    <w:basedOn w:val="8"/>
    <w:link w:val="4"/>
    <w:semiHidden/>
    <w:qFormat/>
    <w:uiPriority w:val="99"/>
    <w:rPr>
      <w:sz w:val="18"/>
      <w:szCs w:val="18"/>
    </w:rPr>
  </w:style>
  <w:style w:type="character" w:customStyle="1" w:styleId="12">
    <w:name w:val="apple-style-span"/>
    <w:basedOn w:val="8"/>
    <w:qFormat/>
    <w:uiPriority w:val="0"/>
    <w:rPr>
      <w:rFonts w:cs="Times New Roman"/>
    </w:rPr>
  </w:style>
  <w:style w:type="paragraph" w:customStyle="1" w:styleId="13">
    <w:name w:val="段"/>
    <w:link w:val="14"/>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2"/>
      <w:szCs w:val="22"/>
      <w:lang w:val="en-US" w:eastAsia="zh-CN" w:bidi="ar-SA"/>
    </w:rPr>
  </w:style>
  <w:style w:type="character" w:customStyle="1" w:styleId="14">
    <w:name w:val="段 Char"/>
    <w:link w:val="13"/>
    <w:qFormat/>
    <w:locked/>
    <w:uiPriority w:val="99"/>
    <w:rPr>
      <w:rFonts w:ascii="宋体" w:hAnsi="Times New Roman" w:eastAsia="宋体" w:cs="Times New Roman"/>
      <w:kern w:val="0"/>
      <w:sz w:val="22"/>
    </w:rPr>
  </w:style>
  <w:style w:type="paragraph" w:customStyle="1" w:styleId="15">
    <w:name w:val="标准文件_段"/>
    <w:link w:val="1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6">
    <w:name w:val="标准文件_段 Char"/>
    <w:link w:val="15"/>
    <w:qFormat/>
    <w:uiPriority w:val="0"/>
    <w:rPr>
      <w:rFonts w:ascii="宋体" w:hAnsi="Times New Roman" w:eastAsia="宋体" w:cs="Times New Roman"/>
      <w:kern w:val="0"/>
      <w:szCs w:val="20"/>
    </w:rPr>
  </w:style>
  <w:style w:type="character" w:customStyle="1" w:styleId="17">
    <w:name w:val="批注框文本 Char"/>
    <w:basedOn w:val="8"/>
    <w:link w:val="3"/>
    <w:semiHidden/>
    <w:qFormat/>
    <w:uiPriority w:val="99"/>
    <w:rPr>
      <w:kern w:val="2"/>
      <w:sz w:val="18"/>
      <w:szCs w:val="18"/>
    </w:rPr>
  </w:style>
  <w:style w:type="character" w:customStyle="1" w:styleId="18">
    <w:name w:val="标题 4 Char"/>
    <w:basedOn w:val="8"/>
    <w:link w:val="2"/>
    <w:qFormat/>
    <w:uiPriority w:val="9"/>
    <w:rPr>
      <w:rFonts w:ascii="宋体" w:hAnsi="宋体" w:eastAsia="宋体" w:cs="宋体"/>
      <w:b/>
      <w:bCs/>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17</Pages>
  <Words>7119</Words>
  <Characters>9225</Characters>
  <Lines>72</Lines>
  <Paragraphs>20</Paragraphs>
  <TotalTime>29</TotalTime>
  <ScaleCrop>false</ScaleCrop>
  <LinksUpToDate>false</LinksUpToDate>
  <CharactersWithSpaces>9336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2024-10-24T01:04:00Z</dcterms:created>
  <dc:creator>闭璟珊</dc:creator>
  <cp:lastModifiedBy>誰念誰川</cp:lastModifiedBy>
  <dcterms:modified xsi:type="dcterms:W3CDTF">2025-02-05T10:44:05Z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337E9AC1939A4DB2B91A3E83F3C76ECE_13</vt:lpwstr>
  </property>
  <property fmtid="{D5CDD505-2E9C-101B-9397-08002B2CF9AE}" pid="4" name="KSOTemplateDocerSaveRecord">
    <vt:lpwstr>eyJoZGlkIjoiZjcwMzBhNDA5MWZkNjNjNjFjNmFkMDk0MGQ5YjMxZTYiLCJ1c2VySWQiOiIxOTA2MDI2MDgifQ==</vt:lpwstr>
  </property>
</Properties>
</file>